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4A50" w14:textId="77777777" w:rsidR="00CB371C" w:rsidRPr="003D6E0F" w:rsidRDefault="00CB371C" w:rsidP="00CB371C">
      <w:pPr>
        <w:rPr>
          <w:rFonts w:ascii="Arial" w:hAnsi="Arial" w:cs="Arial"/>
          <w:b/>
          <w:bCs/>
        </w:rPr>
      </w:pPr>
      <w:r w:rsidRPr="003D6E0F">
        <w:rPr>
          <w:rFonts w:ascii="Arial" w:hAnsi="Arial" w:cs="Arial"/>
          <w:b/>
          <w:bCs/>
          <w:noProof/>
        </w:rPr>
        <w:drawing>
          <wp:anchor distT="0" distB="0" distL="114300" distR="114300" simplePos="0" relativeHeight="251659264" behindDoc="1" locked="0" layoutInCell="1" allowOverlap="1" wp14:anchorId="610D91A9" wp14:editId="6099FD39">
            <wp:simplePos x="0" y="0"/>
            <wp:positionH relativeFrom="margin">
              <wp:align>right</wp:align>
            </wp:positionH>
            <wp:positionV relativeFrom="paragraph">
              <wp:posOffset>-438150</wp:posOffset>
            </wp:positionV>
            <wp:extent cx="1905000" cy="1571625"/>
            <wp:effectExtent l="0" t="0" r="0" b="9525"/>
            <wp:wrapNone/>
            <wp:docPr id="48695702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957021" name="Picture 1" descr="A black and white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05000" cy="1571625"/>
                    </a:xfrm>
                    <a:prstGeom prst="rect">
                      <a:avLst/>
                    </a:prstGeom>
                  </pic:spPr>
                </pic:pic>
              </a:graphicData>
            </a:graphic>
            <wp14:sizeRelH relativeFrom="page">
              <wp14:pctWidth>0</wp14:pctWidth>
            </wp14:sizeRelH>
            <wp14:sizeRelV relativeFrom="page">
              <wp14:pctHeight>0</wp14:pctHeight>
            </wp14:sizeRelV>
          </wp:anchor>
        </w:drawing>
      </w:r>
      <w:r w:rsidRPr="003D6E0F">
        <w:rPr>
          <w:rFonts w:ascii="Arial" w:hAnsi="Arial" w:cs="Arial"/>
          <w:b/>
          <w:bCs/>
        </w:rPr>
        <w:t>MEMORANDUM / COFNOD</w:t>
      </w:r>
    </w:p>
    <w:p w14:paraId="22A7A114" w14:textId="77777777" w:rsidR="00CB371C" w:rsidRPr="003D6E0F" w:rsidRDefault="00CB371C" w:rsidP="00CB371C">
      <w:pPr>
        <w:rPr>
          <w:rFonts w:ascii="Arial" w:hAnsi="Arial" w:cs="Arial"/>
        </w:rPr>
      </w:pPr>
    </w:p>
    <w:p w14:paraId="13DB30B8" w14:textId="77777777" w:rsidR="00CB371C" w:rsidRPr="003D6E0F" w:rsidRDefault="00CB371C" w:rsidP="00CB371C">
      <w:pPr>
        <w:spacing w:line="276" w:lineRule="auto"/>
        <w:rPr>
          <w:rFonts w:ascii="Arial" w:hAnsi="Arial" w:cs="Arial"/>
        </w:rPr>
      </w:pPr>
      <w:r w:rsidRPr="003D6E0F">
        <w:rPr>
          <w:rFonts w:ascii="Arial" w:hAnsi="Arial" w:cs="Arial"/>
        </w:rPr>
        <w:t xml:space="preserve"> The Vale of Glamorgan Council</w:t>
      </w:r>
    </w:p>
    <w:p w14:paraId="5AE8BC03" w14:textId="77777777" w:rsidR="00CB371C" w:rsidRPr="003D6E0F" w:rsidRDefault="00CB371C" w:rsidP="00CB371C">
      <w:pPr>
        <w:spacing w:line="276" w:lineRule="auto"/>
        <w:rPr>
          <w:rFonts w:ascii="Arial" w:hAnsi="Arial" w:cs="Arial"/>
        </w:rPr>
      </w:pPr>
      <w:r w:rsidRPr="003D6E0F">
        <w:rPr>
          <w:rFonts w:ascii="Arial" w:hAnsi="Arial" w:cs="Arial"/>
        </w:rPr>
        <w:t xml:space="preserve"> Development Services</w:t>
      </w:r>
    </w:p>
    <w:p w14:paraId="2D81AFA2" w14:textId="77777777" w:rsidR="00CB371C" w:rsidRPr="003D6E0F" w:rsidRDefault="00CB371C" w:rsidP="00CB371C">
      <w:pPr>
        <w:spacing w:line="276" w:lineRule="auto"/>
        <w:rPr>
          <w:rFonts w:ascii="Arial" w:hAnsi="Arial" w:cs="Arial"/>
        </w:rPr>
      </w:pPr>
      <w:r w:rsidRPr="003D6E0F">
        <w:rPr>
          <w:rFonts w:ascii="Arial" w:hAnsi="Arial" w:cs="Arial"/>
        </w:rPr>
        <w:t xml:space="preserve"> Dock Office, Barry Docks, Barry, CF63 4RT</w:t>
      </w:r>
    </w:p>
    <w:p w14:paraId="633BACF2" w14:textId="77777777" w:rsidR="00CB371C" w:rsidRDefault="00CB371C" w:rsidP="00CB371C">
      <w:pPr>
        <w:rPr>
          <w:rFonts w:ascii="Arial" w:hAnsi="Arial" w:cs="Arial"/>
        </w:rPr>
      </w:pPr>
    </w:p>
    <w:p w14:paraId="0366AA9E" w14:textId="77777777" w:rsidR="00CB371C" w:rsidRDefault="00CB371C" w:rsidP="00CB371C">
      <w:pPr>
        <w:rPr>
          <w:rFonts w:ascii="Arial" w:hAnsi="Arial" w:cs="Arial"/>
        </w:rPr>
      </w:pPr>
    </w:p>
    <w:p w14:paraId="14AC15B1" w14:textId="77777777" w:rsidR="00CB371C" w:rsidRDefault="00CB371C" w:rsidP="00CB371C">
      <w:pPr>
        <w:rPr>
          <w:rFonts w:ascii="Arial" w:hAnsi="Arial" w:cs="Arial"/>
        </w:rPr>
      </w:pPr>
    </w:p>
    <w:p w14:paraId="28C8D3CF" w14:textId="77777777" w:rsidR="00CB371C" w:rsidRDefault="00CB371C" w:rsidP="00CB371C">
      <w:pPr>
        <w:rPr>
          <w:rFonts w:ascii="Arial" w:hAnsi="Arial" w:cs="Arial"/>
        </w:rPr>
      </w:pPr>
    </w:p>
    <w:tbl>
      <w:tblPr>
        <w:tblStyle w:val="TableGrid"/>
        <w:tblW w:w="0" w:type="auto"/>
        <w:tblLook w:val="04A0" w:firstRow="1" w:lastRow="0" w:firstColumn="1" w:lastColumn="0" w:noHBand="0" w:noVBand="1"/>
      </w:tblPr>
      <w:tblGrid>
        <w:gridCol w:w="2500"/>
        <w:gridCol w:w="2172"/>
        <w:gridCol w:w="2172"/>
        <w:gridCol w:w="2172"/>
      </w:tblGrid>
      <w:tr w:rsidR="00CB371C" w14:paraId="32F1C64A" w14:textId="77777777" w:rsidTr="004D44D5">
        <w:tc>
          <w:tcPr>
            <w:tcW w:w="9016" w:type="dxa"/>
            <w:gridSpan w:val="4"/>
            <w:shd w:val="clear" w:color="auto" w:fill="D9D9D9" w:themeFill="background1" w:themeFillShade="D9"/>
          </w:tcPr>
          <w:p w14:paraId="3B7281FE" w14:textId="77777777" w:rsidR="00CB371C" w:rsidRPr="00861191" w:rsidRDefault="00CB371C" w:rsidP="004D44D5">
            <w:pPr>
              <w:jc w:val="center"/>
              <w:rPr>
                <w:rFonts w:ascii="Arial" w:hAnsi="Arial" w:cs="Arial"/>
                <w:b/>
                <w:bCs/>
                <w:sz w:val="24"/>
                <w:szCs w:val="24"/>
              </w:rPr>
            </w:pPr>
            <w:r w:rsidRPr="00861191">
              <w:rPr>
                <w:rFonts w:ascii="Arial" w:hAnsi="Arial" w:cs="Arial"/>
                <w:b/>
                <w:bCs/>
                <w:sz w:val="24"/>
                <w:szCs w:val="24"/>
              </w:rPr>
              <w:t xml:space="preserve">CONSERVATION CONSULTATION </w:t>
            </w:r>
          </w:p>
        </w:tc>
      </w:tr>
      <w:tr w:rsidR="00CB371C" w14:paraId="2DE39E0D" w14:textId="77777777" w:rsidTr="004D44D5">
        <w:tc>
          <w:tcPr>
            <w:tcW w:w="2500" w:type="dxa"/>
          </w:tcPr>
          <w:p w14:paraId="0050D6A2" w14:textId="77777777" w:rsidR="00CB371C" w:rsidRPr="00861191" w:rsidRDefault="00CB371C" w:rsidP="004D44D5">
            <w:pPr>
              <w:spacing w:line="360" w:lineRule="auto"/>
              <w:rPr>
                <w:rFonts w:ascii="Arial" w:hAnsi="Arial" w:cs="Arial"/>
                <w:b/>
                <w:bCs/>
              </w:rPr>
            </w:pPr>
            <w:r w:rsidRPr="00861191">
              <w:rPr>
                <w:rFonts w:ascii="Arial" w:hAnsi="Arial" w:cs="Arial"/>
                <w:b/>
                <w:bCs/>
              </w:rPr>
              <w:t>Application No.</w:t>
            </w:r>
          </w:p>
        </w:tc>
        <w:tc>
          <w:tcPr>
            <w:tcW w:w="2172" w:type="dxa"/>
          </w:tcPr>
          <w:p w14:paraId="3846BED9" w14:textId="5B4FE766" w:rsidR="00CB371C" w:rsidRDefault="00CB371C" w:rsidP="004D44D5">
            <w:pPr>
              <w:rPr>
                <w:rFonts w:ascii="Arial" w:hAnsi="Arial" w:cs="Arial"/>
              </w:rPr>
            </w:pPr>
            <w:r w:rsidRPr="00CB371C">
              <w:rPr>
                <w:rFonts w:ascii="Arial" w:hAnsi="Arial" w:cs="Arial"/>
              </w:rPr>
              <w:t>2024/00306</w:t>
            </w:r>
          </w:p>
        </w:tc>
        <w:tc>
          <w:tcPr>
            <w:tcW w:w="2172" w:type="dxa"/>
          </w:tcPr>
          <w:p w14:paraId="0D1454F1" w14:textId="77777777" w:rsidR="00CB371C" w:rsidRPr="00861191" w:rsidRDefault="00CB371C" w:rsidP="004D44D5">
            <w:pPr>
              <w:rPr>
                <w:rFonts w:ascii="Arial" w:hAnsi="Arial" w:cs="Arial"/>
                <w:b/>
                <w:bCs/>
              </w:rPr>
            </w:pPr>
            <w:r w:rsidRPr="00861191">
              <w:rPr>
                <w:rFonts w:ascii="Arial" w:hAnsi="Arial" w:cs="Arial"/>
                <w:b/>
                <w:bCs/>
              </w:rPr>
              <w:t>Date</w:t>
            </w:r>
          </w:p>
        </w:tc>
        <w:tc>
          <w:tcPr>
            <w:tcW w:w="2172" w:type="dxa"/>
          </w:tcPr>
          <w:p w14:paraId="600B55B3" w14:textId="1F112C1A" w:rsidR="00CB371C" w:rsidRDefault="00CB371C" w:rsidP="004D44D5">
            <w:pPr>
              <w:rPr>
                <w:rFonts w:ascii="Arial" w:hAnsi="Arial" w:cs="Arial"/>
              </w:rPr>
            </w:pPr>
            <w:r>
              <w:rPr>
                <w:rFonts w:ascii="Arial" w:hAnsi="Arial" w:cs="Arial"/>
              </w:rPr>
              <w:t>13.05.2024</w:t>
            </w:r>
          </w:p>
        </w:tc>
      </w:tr>
      <w:tr w:rsidR="00CB371C" w14:paraId="20D21CBC" w14:textId="77777777" w:rsidTr="004D44D5">
        <w:tc>
          <w:tcPr>
            <w:tcW w:w="2500" w:type="dxa"/>
          </w:tcPr>
          <w:p w14:paraId="10333364" w14:textId="77777777" w:rsidR="00CB371C" w:rsidRPr="00861191" w:rsidRDefault="00CB371C" w:rsidP="004D44D5">
            <w:pPr>
              <w:spacing w:line="360" w:lineRule="auto"/>
              <w:rPr>
                <w:rFonts w:ascii="Arial" w:hAnsi="Arial" w:cs="Arial"/>
                <w:b/>
                <w:bCs/>
              </w:rPr>
            </w:pPr>
            <w:r w:rsidRPr="00861191">
              <w:rPr>
                <w:rFonts w:ascii="Arial" w:hAnsi="Arial" w:cs="Arial"/>
                <w:b/>
                <w:bCs/>
              </w:rPr>
              <w:t>Site</w:t>
            </w:r>
          </w:p>
        </w:tc>
        <w:tc>
          <w:tcPr>
            <w:tcW w:w="6516" w:type="dxa"/>
            <w:gridSpan w:val="3"/>
          </w:tcPr>
          <w:p w14:paraId="17472E91" w14:textId="0D0B53CF" w:rsidR="00CB371C" w:rsidRDefault="00CB371C" w:rsidP="004D44D5">
            <w:pPr>
              <w:rPr>
                <w:rFonts w:ascii="Arial" w:hAnsi="Arial" w:cs="Arial"/>
              </w:rPr>
            </w:pPr>
            <w:r>
              <w:rPr>
                <w:rFonts w:ascii="Arial" w:hAnsi="Arial" w:cs="Arial"/>
              </w:rPr>
              <w:t xml:space="preserve">Land to the South of Hood Road, Barry </w:t>
            </w:r>
          </w:p>
        </w:tc>
      </w:tr>
      <w:tr w:rsidR="00CB371C" w14:paraId="0028644B" w14:textId="77777777" w:rsidTr="004D44D5">
        <w:tc>
          <w:tcPr>
            <w:tcW w:w="2500" w:type="dxa"/>
          </w:tcPr>
          <w:p w14:paraId="37A52AA5" w14:textId="77777777" w:rsidR="00CB371C" w:rsidRPr="00861191" w:rsidRDefault="00CB371C" w:rsidP="004D44D5">
            <w:pPr>
              <w:spacing w:line="360" w:lineRule="auto"/>
              <w:rPr>
                <w:rFonts w:ascii="Arial" w:hAnsi="Arial" w:cs="Arial"/>
                <w:b/>
                <w:bCs/>
              </w:rPr>
            </w:pPr>
            <w:r w:rsidRPr="00861191">
              <w:rPr>
                <w:rFonts w:ascii="Arial" w:hAnsi="Arial" w:cs="Arial"/>
                <w:b/>
                <w:bCs/>
              </w:rPr>
              <w:t>Description</w:t>
            </w:r>
          </w:p>
        </w:tc>
        <w:tc>
          <w:tcPr>
            <w:tcW w:w="6516" w:type="dxa"/>
            <w:gridSpan w:val="3"/>
          </w:tcPr>
          <w:p w14:paraId="5661C751" w14:textId="20A66DC4" w:rsidR="00CB371C" w:rsidRDefault="00CB371C" w:rsidP="004D44D5">
            <w:pPr>
              <w:rPr>
                <w:rFonts w:ascii="Arial" w:hAnsi="Arial" w:cs="Arial"/>
              </w:rPr>
            </w:pPr>
            <w:r>
              <w:rPr>
                <w:rFonts w:ascii="Arial" w:hAnsi="Arial" w:cs="Arial"/>
              </w:rPr>
              <w:t xml:space="preserve">Proposed redevelopment of vacant brownfield land at Barry Waterfront for a new educational campus for Cardiff and Vale College including landscaping, related infrastructure and engineering works </w:t>
            </w:r>
          </w:p>
        </w:tc>
      </w:tr>
      <w:tr w:rsidR="00CB371C" w14:paraId="7425F5F9" w14:textId="77777777" w:rsidTr="004D44D5">
        <w:tc>
          <w:tcPr>
            <w:tcW w:w="2500" w:type="dxa"/>
          </w:tcPr>
          <w:p w14:paraId="289C3A02" w14:textId="77777777" w:rsidR="00CB371C" w:rsidRPr="00861191" w:rsidRDefault="00CB371C" w:rsidP="004D44D5">
            <w:pPr>
              <w:spacing w:line="360" w:lineRule="auto"/>
              <w:rPr>
                <w:rFonts w:ascii="Arial" w:hAnsi="Arial" w:cs="Arial"/>
                <w:b/>
                <w:bCs/>
              </w:rPr>
            </w:pPr>
            <w:r w:rsidRPr="00861191">
              <w:rPr>
                <w:rFonts w:ascii="Arial" w:hAnsi="Arial" w:cs="Arial"/>
                <w:b/>
                <w:bCs/>
              </w:rPr>
              <w:t>Case Officer</w:t>
            </w:r>
          </w:p>
        </w:tc>
        <w:tc>
          <w:tcPr>
            <w:tcW w:w="2172" w:type="dxa"/>
          </w:tcPr>
          <w:p w14:paraId="0C6A3161" w14:textId="48953A79" w:rsidR="00CB371C" w:rsidRDefault="00CB371C" w:rsidP="004D44D5">
            <w:pPr>
              <w:rPr>
                <w:rFonts w:ascii="Arial" w:hAnsi="Arial" w:cs="Arial"/>
              </w:rPr>
            </w:pPr>
            <w:r>
              <w:rPr>
                <w:rFonts w:ascii="Arial" w:hAnsi="Arial" w:cs="Arial"/>
              </w:rPr>
              <w:t>LF</w:t>
            </w:r>
          </w:p>
        </w:tc>
        <w:tc>
          <w:tcPr>
            <w:tcW w:w="2172" w:type="dxa"/>
          </w:tcPr>
          <w:p w14:paraId="60F4FF26" w14:textId="77777777" w:rsidR="00CB371C" w:rsidRPr="00861191" w:rsidRDefault="00CB371C" w:rsidP="004D44D5">
            <w:pPr>
              <w:rPr>
                <w:rFonts w:ascii="Arial" w:hAnsi="Arial" w:cs="Arial"/>
                <w:b/>
                <w:bCs/>
              </w:rPr>
            </w:pPr>
            <w:r w:rsidRPr="00861191">
              <w:rPr>
                <w:rFonts w:ascii="Arial" w:hAnsi="Arial" w:cs="Arial"/>
                <w:b/>
                <w:bCs/>
              </w:rPr>
              <w:t xml:space="preserve">Heritage Officer </w:t>
            </w:r>
          </w:p>
        </w:tc>
        <w:tc>
          <w:tcPr>
            <w:tcW w:w="2172" w:type="dxa"/>
          </w:tcPr>
          <w:p w14:paraId="31ED3563" w14:textId="7D889E54" w:rsidR="00CB371C" w:rsidRDefault="00CB371C" w:rsidP="004D44D5">
            <w:pPr>
              <w:rPr>
                <w:rFonts w:ascii="Arial" w:hAnsi="Arial" w:cs="Arial"/>
              </w:rPr>
            </w:pPr>
            <w:r>
              <w:rPr>
                <w:rFonts w:ascii="Arial" w:hAnsi="Arial" w:cs="Arial"/>
              </w:rPr>
              <w:t>LC</w:t>
            </w:r>
          </w:p>
        </w:tc>
      </w:tr>
    </w:tbl>
    <w:p w14:paraId="6F5A3795" w14:textId="77777777" w:rsidR="00CB371C" w:rsidRDefault="00CB371C" w:rsidP="00CB371C">
      <w:pPr>
        <w:rPr>
          <w:rFonts w:ascii="Arial" w:hAnsi="Arial" w:cs="Arial"/>
        </w:rPr>
      </w:pPr>
    </w:p>
    <w:p w14:paraId="73133F25" w14:textId="77777777" w:rsidR="00CB371C" w:rsidRDefault="00CB371C" w:rsidP="00CB371C">
      <w:pPr>
        <w:rPr>
          <w:rFonts w:ascii="Arial" w:hAnsi="Arial" w:cs="Arial"/>
        </w:rPr>
      </w:pPr>
    </w:p>
    <w:tbl>
      <w:tblPr>
        <w:tblStyle w:val="TableGrid"/>
        <w:tblW w:w="9067" w:type="dxa"/>
        <w:tblLook w:val="04A0" w:firstRow="1" w:lastRow="0" w:firstColumn="1" w:lastColumn="0" w:noHBand="0" w:noVBand="1"/>
      </w:tblPr>
      <w:tblGrid>
        <w:gridCol w:w="1726"/>
        <w:gridCol w:w="1742"/>
        <w:gridCol w:w="3048"/>
        <w:gridCol w:w="2551"/>
      </w:tblGrid>
      <w:tr w:rsidR="00CB371C" w14:paraId="08E9867B" w14:textId="77777777" w:rsidTr="004D44D5">
        <w:tc>
          <w:tcPr>
            <w:tcW w:w="1726" w:type="dxa"/>
            <w:shd w:val="clear" w:color="auto" w:fill="D9D9D9" w:themeFill="background1" w:themeFillShade="D9"/>
          </w:tcPr>
          <w:p w14:paraId="446A5D8F" w14:textId="77777777" w:rsidR="00CB371C" w:rsidRPr="0006358D" w:rsidRDefault="00CB371C" w:rsidP="004D44D5">
            <w:pPr>
              <w:rPr>
                <w:rFonts w:ascii="Arial" w:hAnsi="Arial" w:cs="Arial"/>
                <w:b/>
                <w:bCs/>
              </w:rPr>
            </w:pPr>
            <w:r w:rsidRPr="0006358D">
              <w:rPr>
                <w:rFonts w:ascii="Arial" w:hAnsi="Arial" w:cs="Arial"/>
                <w:b/>
                <w:bCs/>
              </w:rPr>
              <w:t>Objection</w:t>
            </w:r>
          </w:p>
        </w:tc>
        <w:tc>
          <w:tcPr>
            <w:tcW w:w="1742" w:type="dxa"/>
            <w:shd w:val="clear" w:color="auto" w:fill="D9D9D9" w:themeFill="background1" w:themeFillShade="D9"/>
          </w:tcPr>
          <w:p w14:paraId="3F941F2D" w14:textId="77777777" w:rsidR="00CB371C" w:rsidRPr="0006358D" w:rsidRDefault="00CB371C" w:rsidP="004D44D5">
            <w:pPr>
              <w:rPr>
                <w:rFonts w:ascii="Arial" w:hAnsi="Arial" w:cs="Arial"/>
                <w:b/>
                <w:bCs/>
              </w:rPr>
            </w:pPr>
            <w:r w:rsidRPr="0006358D">
              <w:rPr>
                <w:rFonts w:ascii="Arial" w:hAnsi="Arial" w:cs="Arial"/>
                <w:b/>
                <w:bCs/>
              </w:rPr>
              <w:t>Comments</w:t>
            </w:r>
          </w:p>
        </w:tc>
        <w:tc>
          <w:tcPr>
            <w:tcW w:w="3048" w:type="dxa"/>
            <w:shd w:val="clear" w:color="auto" w:fill="D9D9D9" w:themeFill="background1" w:themeFillShade="D9"/>
          </w:tcPr>
          <w:p w14:paraId="307CCE3A" w14:textId="77777777" w:rsidR="00CB371C" w:rsidRPr="0006358D" w:rsidRDefault="00CB371C" w:rsidP="004D44D5">
            <w:pPr>
              <w:rPr>
                <w:rFonts w:ascii="Arial" w:hAnsi="Arial" w:cs="Arial"/>
                <w:b/>
                <w:bCs/>
              </w:rPr>
            </w:pPr>
            <w:r w:rsidRPr="0006358D">
              <w:rPr>
                <w:rFonts w:ascii="Arial" w:hAnsi="Arial" w:cs="Arial"/>
                <w:b/>
                <w:bCs/>
              </w:rPr>
              <w:t>Amendment/Further Info</w:t>
            </w:r>
          </w:p>
        </w:tc>
        <w:tc>
          <w:tcPr>
            <w:tcW w:w="2551" w:type="dxa"/>
            <w:shd w:val="clear" w:color="auto" w:fill="D9D9D9" w:themeFill="background1" w:themeFillShade="D9"/>
          </w:tcPr>
          <w:p w14:paraId="3F00487C" w14:textId="77777777" w:rsidR="00CB371C" w:rsidRPr="0006358D" w:rsidRDefault="00CB371C" w:rsidP="004D44D5">
            <w:pPr>
              <w:rPr>
                <w:rFonts w:ascii="Arial" w:hAnsi="Arial" w:cs="Arial"/>
                <w:b/>
                <w:bCs/>
              </w:rPr>
            </w:pPr>
            <w:r w:rsidRPr="0006358D">
              <w:rPr>
                <w:rFonts w:ascii="Arial" w:hAnsi="Arial" w:cs="Arial"/>
                <w:b/>
                <w:bCs/>
              </w:rPr>
              <w:t>Condition(s)</w:t>
            </w:r>
          </w:p>
        </w:tc>
      </w:tr>
      <w:tr w:rsidR="00CB371C" w14:paraId="10DACF06" w14:textId="77777777" w:rsidTr="004D44D5">
        <w:tc>
          <w:tcPr>
            <w:tcW w:w="1726" w:type="dxa"/>
          </w:tcPr>
          <w:p w14:paraId="01D8D077" w14:textId="0743927A" w:rsidR="00CB371C" w:rsidRDefault="00CB371C" w:rsidP="004D44D5">
            <w:pPr>
              <w:rPr>
                <w:rFonts w:ascii="Arial" w:hAnsi="Arial" w:cs="Arial"/>
              </w:rPr>
            </w:pPr>
            <w:r>
              <w:rPr>
                <w:rFonts w:ascii="Arial" w:hAnsi="Arial" w:cs="Arial"/>
              </w:rPr>
              <w:t>x</w:t>
            </w:r>
          </w:p>
          <w:p w14:paraId="75C2060C" w14:textId="77777777" w:rsidR="00CB371C" w:rsidRDefault="00CB371C" w:rsidP="004D44D5">
            <w:pPr>
              <w:rPr>
                <w:rFonts w:ascii="Arial" w:hAnsi="Arial" w:cs="Arial"/>
              </w:rPr>
            </w:pPr>
          </w:p>
        </w:tc>
        <w:tc>
          <w:tcPr>
            <w:tcW w:w="1742" w:type="dxa"/>
          </w:tcPr>
          <w:p w14:paraId="2F6EE9A2" w14:textId="4657136F" w:rsidR="00CB371C" w:rsidRDefault="00CB371C" w:rsidP="004D44D5">
            <w:pPr>
              <w:rPr>
                <w:rFonts w:ascii="Arial" w:hAnsi="Arial" w:cs="Arial"/>
              </w:rPr>
            </w:pPr>
            <w:r>
              <w:rPr>
                <w:rFonts w:ascii="Arial" w:hAnsi="Arial" w:cs="Arial"/>
              </w:rPr>
              <w:t>x</w:t>
            </w:r>
          </w:p>
        </w:tc>
        <w:tc>
          <w:tcPr>
            <w:tcW w:w="3048" w:type="dxa"/>
          </w:tcPr>
          <w:p w14:paraId="4D05AC37" w14:textId="15915D3F" w:rsidR="00CB371C" w:rsidRDefault="00CB371C" w:rsidP="004D44D5">
            <w:pPr>
              <w:rPr>
                <w:rFonts w:ascii="Arial" w:hAnsi="Arial" w:cs="Arial"/>
              </w:rPr>
            </w:pPr>
            <w:r>
              <w:rPr>
                <w:rFonts w:ascii="Arial" w:hAnsi="Arial" w:cs="Arial"/>
              </w:rPr>
              <w:t>x</w:t>
            </w:r>
          </w:p>
        </w:tc>
        <w:tc>
          <w:tcPr>
            <w:tcW w:w="2551" w:type="dxa"/>
          </w:tcPr>
          <w:p w14:paraId="6DAC94F1" w14:textId="04B2FE26" w:rsidR="00CB371C" w:rsidRDefault="00CB371C" w:rsidP="004D44D5">
            <w:pPr>
              <w:rPr>
                <w:rFonts w:ascii="Arial" w:hAnsi="Arial" w:cs="Arial"/>
              </w:rPr>
            </w:pPr>
            <w:r>
              <w:rPr>
                <w:rFonts w:ascii="Arial" w:hAnsi="Arial" w:cs="Arial"/>
              </w:rPr>
              <w:t>x</w:t>
            </w:r>
          </w:p>
        </w:tc>
      </w:tr>
    </w:tbl>
    <w:p w14:paraId="3544DB31" w14:textId="77777777" w:rsidR="00CB371C" w:rsidRDefault="00CB371C" w:rsidP="00CB371C">
      <w:pPr>
        <w:rPr>
          <w:rFonts w:ascii="Arial" w:hAnsi="Arial" w:cs="Arial"/>
        </w:rPr>
      </w:pPr>
    </w:p>
    <w:p w14:paraId="2D99C19E" w14:textId="77777777" w:rsidR="00CB371C" w:rsidRPr="003D6E0F" w:rsidRDefault="00CB371C" w:rsidP="00CB371C">
      <w:pPr>
        <w:rPr>
          <w:rFonts w:ascii="Arial" w:hAnsi="Arial" w:cs="Arial"/>
        </w:rPr>
      </w:pPr>
    </w:p>
    <w:p w14:paraId="7EA58391" w14:textId="77777777" w:rsidR="00CB371C" w:rsidRPr="0006358D" w:rsidRDefault="00CB371C" w:rsidP="00CB371C">
      <w:pPr>
        <w:rPr>
          <w:rFonts w:ascii="Arial" w:hAnsi="Arial" w:cs="Arial"/>
          <w:b/>
          <w:bCs/>
          <w:u w:val="single"/>
        </w:rPr>
      </w:pPr>
      <w:r w:rsidRPr="0006358D">
        <w:rPr>
          <w:rFonts w:ascii="Arial" w:hAnsi="Arial" w:cs="Arial"/>
          <w:b/>
          <w:bCs/>
          <w:u w:val="single"/>
        </w:rPr>
        <w:t>Background</w:t>
      </w:r>
    </w:p>
    <w:p w14:paraId="2EB54238" w14:textId="77777777" w:rsidR="00CB371C" w:rsidRPr="003D6E0F" w:rsidRDefault="00CB371C" w:rsidP="00CB371C">
      <w:pPr>
        <w:rPr>
          <w:rFonts w:ascii="Arial" w:hAnsi="Arial" w:cs="Arial"/>
          <w:b/>
          <w:bCs/>
        </w:rPr>
      </w:pPr>
    </w:p>
    <w:p w14:paraId="7ABA3196" w14:textId="627F4409" w:rsidR="00CB371C" w:rsidRPr="003D6E0F" w:rsidRDefault="00CB371C" w:rsidP="00CB371C">
      <w:pPr>
        <w:rPr>
          <w:rFonts w:ascii="Arial" w:hAnsi="Arial" w:cs="Arial"/>
        </w:rPr>
      </w:pPr>
      <w:r>
        <w:rPr>
          <w:rFonts w:ascii="Arial" w:hAnsi="Arial" w:cs="Arial"/>
        </w:rPr>
        <w:t xml:space="preserve">The application site is adjacent to the Grade II Listed Building </w:t>
      </w:r>
      <w:r w:rsidR="00C94783">
        <w:rPr>
          <w:rFonts w:ascii="Arial" w:hAnsi="Arial" w:cs="Arial"/>
        </w:rPr>
        <w:t xml:space="preserve">Pumping House (Cadw Ref 13468) </w:t>
      </w:r>
      <w:r>
        <w:rPr>
          <w:rFonts w:ascii="Arial" w:hAnsi="Arial" w:cs="Arial"/>
        </w:rPr>
        <w:t xml:space="preserve">and has the potential to impact on the setting of other listed buildings and County Treasures in the area. </w:t>
      </w:r>
    </w:p>
    <w:p w14:paraId="540D4020" w14:textId="77777777" w:rsidR="00CB371C" w:rsidRDefault="00CB371C" w:rsidP="00CB371C">
      <w:pPr>
        <w:rPr>
          <w:rFonts w:ascii="Arial" w:hAnsi="Arial" w:cs="Arial"/>
        </w:rPr>
      </w:pPr>
    </w:p>
    <w:p w14:paraId="13B1C7DC" w14:textId="77777777" w:rsidR="00CB371C" w:rsidRPr="0006358D" w:rsidRDefault="00CB371C" w:rsidP="00CB371C">
      <w:pPr>
        <w:rPr>
          <w:rFonts w:ascii="Arial" w:hAnsi="Arial" w:cs="Arial"/>
          <w:b/>
          <w:bCs/>
          <w:u w:val="single"/>
        </w:rPr>
      </w:pPr>
      <w:r w:rsidRPr="0006358D">
        <w:rPr>
          <w:rFonts w:ascii="Arial" w:hAnsi="Arial" w:cs="Arial"/>
          <w:b/>
          <w:bCs/>
          <w:u w:val="single"/>
        </w:rPr>
        <w:t>Comments</w:t>
      </w:r>
    </w:p>
    <w:p w14:paraId="264CECCF" w14:textId="1B0537A6" w:rsidR="00CB371C" w:rsidRDefault="00CB371C" w:rsidP="00CB371C">
      <w:pPr>
        <w:rPr>
          <w:rFonts w:ascii="Arial" w:hAnsi="Arial" w:cs="Arial"/>
        </w:rPr>
      </w:pPr>
      <w:r>
        <w:rPr>
          <w:rFonts w:ascii="Arial" w:hAnsi="Arial" w:cs="Arial"/>
        </w:rPr>
        <w:t xml:space="preserve">The proposed redevelopment of the site is considered acceptable in principle. However there are some additional details required for a full assessment and an objection raised on the proposed material choice please see below.  </w:t>
      </w:r>
    </w:p>
    <w:p w14:paraId="205E2EB4" w14:textId="77777777" w:rsidR="00CB371C" w:rsidRDefault="00CB371C" w:rsidP="00CB371C">
      <w:pPr>
        <w:rPr>
          <w:rFonts w:ascii="Arial" w:hAnsi="Arial" w:cs="Arial"/>
        </w:rPr>
      </w:pPr>
    </w:p>
    <w:p w14:paraId="1FB45413" w14:textId="162F36B4" w:rsidR="00CB371C" w:rsidRDefault="00CB371C" w:rsidP="00CB371C">
      <w:pPr>
        <w:rPr>
          <w:rFonts w:ascii="Arial" w:hAnsi="Arial" w:cs="Arial"/>
        </w:rPr>
      </w:pPr>
      <w:r>
        <w:rPr>
          <w:rFonts w:ascii="Arial" w:hAnsi="Arial" w:cs="Arial"/>
        </w:rPr>
        <w:t xml:space="preserve">The relationship between the proposed building and the existing neighbouring buildings is not shown on the submitted plans. In particular its relationship in height to the immediate neighbour of Junction House. Clarification is sought as to the height of both buildings to allow the impact to be fully assessed. </w:t>
      </w:r>
    </w:p>
    <w:p w14:paraId="58213FD5" w14:textId="77777777" w:rsidR="00CB371C" w:rsidRDefault="00CB371C" w:rsidP="00CB371C">
      <w:pPr>
        <w:rPr>
          <w:rFonts w:ascii="Arial" w:hAnsi="Arial" w:cs="Arial"/>
        </w:rPr>
      </w:pPr>
    </w:p>
    <w:p w14:paraId="6161B96A" w14:textId="36F32279" w:rsidR="00CB371C" w:rsidRDefault="00CB371C" w:rsidP="00CB371C">
      <w:pPr>
        <w:rPr>
          <w:rFonts w:ascii="Arial" w:hAnsi="Arial" w:cs="Arial"/>
        </w:rPr>
      </w:pPr>
      <w:r>
        <w:rPr>
          <w:rFonts w:ascii="Arial" w:hAnsi="Arial" w:cs="Arial"/>
        </w:rPr>
        <w:t xml:space="preserve">The proposed material of the building is not considered appropriate. The landmark building in the area is that of the listed </w:t>
      </w:r>
      <w:r w:rsidR="00C94783">
        <w:rPr>
          <w:rFonts w:ascii="Arial" w:hAnsi="Arial" w:cs="Arial"/>
        </w:rPr>
        <w:t>Pumping House</w:t>
      </w:r>
      <w:r>
        <w:rPr>
          <w:rFonts w:ascii="Arial" w:hAnsi="Arial" w:cs="Arial"/>
        </w:rPr>
        <w:t xml:space="preserve"> and much effort has been made to ensure that it retains its status in the area. The proposed brick and cladding are welcomed but the colour choice is considered out of character for the waterfront area and its historic context and neighbours therefore an objection is raised on the impact to the setting of the listed building and the wider historic context. Once a palette has been agreed a condition will be required for samples of all materials proposed. </w:t>
      </w:r>
    </w:p>
    <w:p w14:paraId="4FD56E01" w14:textId="77777777" w:rsidR="00CB371C" w:rsidRDefault="00CB371C" w:rsidP="00CB371C">
      <w:pPr>
        <w:rPr>
          <w:rFonts w:ascii="Arial" w:hAnsi="Arial" w:cs="Arial"/>
        </w:rPr>
      </w:pPr>
    </w:p>
    <w:p w14:paraId="2FF5D64C" w14:textId="19CB85DF" w:rsidR="00CB371C" w:rsidRDefault="00C94783" w:rsidP="00CB371C">
      <w:pPr>
        <w:rPr>
          <w:rFonts w:ascii="Arial" w:hAnsi="Arial" w:cs="Arial"/>
        </w:rPr>
      </w:pPr>
      <w:r>
        <w:rPr>
          <w:rFonts w:ascii="Arial" w:hAnsi="Arial" w:cs="Arial"/>
        </w:rPr>
        <w:t xml:space="preserve">The proposed fencing and boundary treatments are noted and the reuse of the existing metal railings is welcomed. However the creation of a 2.4m heigh mesh fence to the vehicular boundary is considered to create a barrier effect and the use of the existing metal fencing would be considered appropriate. The other boundary treatments e.g. louvered </w:t>
      </w:r>
      <w:r>
        <w:rPr>
          <w:rFonts w:ascii="Arial" w:hAnsi="Arial" w:cs="Arial"/>
        </w:rPr>
        <w:lastRenderedPageBreak/>
        <w:t>fencing, closed board fencing etc more information is required. This boundary treatment links to the next comments where t</w:t>
      </w:r>
      <w:r w:rsidR="00CB371C">
        <w:rPr>
          <w:rFonts w:ascii="Arial" w:hAnsi="Arial" w:cs="Arial"/>
        </w:rPr>
        <w:t>here are a few ancillary structures proposed as part of the development and more information is required to assess their impacts.</w:t>
      </w:r>
      <w:r>
        <w:rPr>
          <w:rFonts w:ascii="Arial" w:hAnsi="Arial" w:cs="Arial"/>
        </w:rPr>
        <w:t xml:space="preserve"> It is assumed that the proposed boundary treatments would screen these structures but clarification is required. </w:t>
      </w:r>
      <w:r w:rsidR="00CB371C">
        <w:rPr>
          <w:rFonts w:ascii="Arial" w:hAnsi="Arial" w:cs="Arial"/>
        </w:rPr>
        <w:t xml:space="preserve"> Please can details be provided for the following buildings:</w:t>
      </w:r>
    </w:p>
    <w:p w14:paraId="00E1839B" w14:textId="1B18E469" w:rsidR="00CB371C" w:rsidRDefault="00C94783" w:rsidP="00CB371C">
      <w:pPr>
        <w:pStyle w:val="ListParagraph"/>
        <w:numPr>
          <w:ilvl w:val="0"/>
          <w:numId w:val="3"/>
        </w:numPr>
        <w:rPr>
          <w:rFonts w:ascii="Arial" w:hAnsi="Arial" w:cs="Arial"/>
        </w:rPr>
      </w:pPr>
      <w:r>
        <w:rPr>
          <w:rFonts w:ascii="Arial" w:hAnsi="Arial" w:cs="Arial"/>
        </w:rPr>
        <w:t xml:space="preserve">Sprinkler and </w:t>
      </w:r>
      <w:r w:rsidR="00CB371C">
        <w:rPr>
          <w:rFonts w:ascii="Arial" w:hAnsi="Arial" w:cs="Arial"/>
        </w:rPr>
        <w:t>P</w:t>
      </w:r>
      <w:r>
        <w:rPr>
          <w:rFonts w:ascii="Arial" w:hAnsi="Arial" w:cs="Arial"/>
        </w:rPr>
        <w:t>ump House</w:t>
      </w:r>
    </w:p>
    <w:p w14:paraId="706775B5" w14:textId="747A0174" w:rsidR="00C94783" w:rsidRPr="00C94783" w:rsidRDefault="00CB371C" w:rsidP="00CB371C">
      <w:pPr>
        <w:pStyle w:val="ListParagraph"/>
        <w:numPr>
          <w:ilvl w:val="0"/>
          <w:numId w:val="3"/>
        </w:numPr>
        <w:rPr>
          <w:rFonts w:ascii="Arial" w:hAnsi="Arial" w:cs="Arial"/>
        </w:rPr>
      </w:pPr>
      <w:r w:rsidRPr="00C94783">
        <w:rPr>
          <w:rFonts w:ascii="Arial" w:hAnsi="Arial" w:cs="Arial"/>
        </w:rPr>
        <w:t>Air Source Heat Pump</w:t>
      </w:r>
      <w:r w:rsidR="00C94783" w:rsidRPr="00C94783">
        <w:rPr>
          <w:rFonts w:ascii="Arial" w:hAnsi="Arial" w:cs="Arial"/>
        </w:rPr>
        <w:t xml:space="preserve"> and adjacent </w:t>
      </w:r>
      <w:r w:rsidR="00C94783">
        <w:rPr>
          <w:rFonts w:ascii="Arial" w:hAnsi="Arial" w:cs="Arial"/>
        </w:rPr>
        <w:t>s</w:t>
      </w:r>
      <w:r w:rsidR="00C94783" w:rsidRPr="00C94783">
        <w:rPr>
          <w:rFonts w:ascii="Arial" w:hAnsi="Arial" w:cs="Arial"/>
        </w:rPr>
        <w:t xml:space="preserve">torage </w:t>
      </w:r>
      <w:r w:rsidR="00C94783">
        <w:rPr>
          <w:rFonts w:ascii="Arial" w:hAnsi="Arial" w:cs="Arial"/>
        </w:rPr>
        <w:t>s</w:t>
      </w:r>
      <w:r w:rsidR="00C94783" w:rsidRPr="00C94783">
        <w:rPr>
          <w:rFonts w:ascii="Arial" w:hAnsi="Arial" w:cs="Arial"/>
        </w:rPr>
        <w:t>hed</w:t>
      </w:r>
    </w:p>
    <w:p w14:paraId="1F566CC7" w14:textId="50765A00" w:rsidR="00C94783" w:rsidRDefault="00C94783" w:rsidP="00CB371C">
      <w:pPr>
        <w:pStyle w:val="ListParagraph"/>
        <w:numPr>
          <w:ilvl w:val="0"/>
          <w:numId w:val="3"/>
        </w:numPr>
        <w:rPr>
          <w:rFonts w:ascii="Arial" w:hAnsi="Arial" w:cs="Arial"/>
        </w:rPr>
      </w:pPr>
      <w:r>
        <w:rPr>
          <w:rFonts w:ascii="Arial" w:hAnsi="Arial" w:cs="Arial"/>
        </w:rPr>
        <w:t>Cycle stores</w:t>
      </w:r>
    </w:p>
    <w:p w14:paraId="67BCF005" w14:textId="0E12BEC0" w:rsidR="00CB371C" w:rsidRDefault="00CB371C" w:rsidP="00CB371C">
      <w:pPr>
        <w:pStyle w:val="ListParagraph"/>
        <w:numPr>
          <w:ilvl w:val="0"/>
          <w:numId w:val="3"/>
        </w:numPr>
        <w:rPr>
          <w:rFonts w:ascii="Arial" w:hAnsi="Arial" w:cs="Arial"/>
        </w:rPr>
      </w:pPr>
      <w:r>
        <w:rPr>
          <w:rFonts w:ascii="Arial" w:hAnsi="Arial" w:cs="Arial"/>
        </w:rPr>
        <w:t>Bin Store</w:t>
      </w:r>
      <w:r w:rsidR="00C94783">
        <w:rPr>
          <w:rFonts w:ascii="Arial" w:hAnsi="Arial" w:cs="Arial"/>
        </w:rPr>
        <w:t xml:space="preserve"> – the open nature of the current fence may mean that the bin store impact is negative and clarification of the design of the bin store is required. </w:t>
      </w:r>
    </w:p>
    <w:p w14:paraId="70258947" w14:textId="2DDF3723" w:rsidR="00CB371C" w:rsidRPr="003D6E0F" w:rsidRDefault="00CB371C" w:rsidP="00CB371C">
      <w:pPr>
        <w:rPr>
          <w:rFonts w:ascii="Arial" w:hAnsi="Arial" w:cs="Arial"/>
          <w:b/>
          <w:bCs/>
        </w:rPr>
      </w:pPr>
    </w:p>
    <w:p w14:paraId="6B105EF4" w14:textId="77777777" w:rsidR="00CB371C" w:rsidRPr="0006358D" w:rsidRDefault="00CB371C" w:rsidP="00CB371C">
      <w:pPr>
        <w:rPr>
          <w:rFonts w:ascii="Arial" w:hAnsi="Arial" w:cs="Arial"/>
          <w:b/>
          <w:bCs/>
          <w:u w:val="single"/>
        </w:rPr>
      </w:pPr>
      <w:r w:rsidRPr="0006358D">
        <w:rPr>
          <w:rFonts w:ascii="Arial" w:hAnsi="Arial" w:cs="Arial"/>
          <w:b/>
          <w:bCs/>
          <w:u w:val="single"/>
        </w:rPr>
        <w:t xml:space="preserve">Final recommendation </w:t>
      </w:r>
    </w:p>
    <w:p w14:paraId="6E17A1B6" w14:textId="676AB76D" w:rsidR="00CB371C" w:rsidRPr="00CB371C" w:rsidRDefault="00CB371C" w:rsidP="00CB371C">
      <w:pPr>
        <w:rPr>
          <w:rFonts w:ascii="Arial" w:hAnsi="Arial" w:cs="Arial"/>
        </w:rPr>
      </w:pPr>
      <w:r>
        <w:rPr>
          <w:rFonts w:ascii="Arial" w:hAnsi="Arial" w:cs="Arial"/>
        </w:rPr>
        <w:t>Objection raised due to requirement for more information and proposed material choice, as set out above.</w:t>
      </w:r>
    </w:p>
    <w:p w14:paraId="0A1D299E" w14:textId="77777777" w:rsidR="00CB371C" w:rsidRPr="003D6E0F" w:rsidRDefault="00CB371C" w:rsidP="00CB371C">
      <w:pPr>
        <w:rPr>
          <w:rFonts w:ascii="Arial" w:hAnsi="Arial" w:cs="Arial"/>
          <w:b/>
          <w:bCs/>
        </w:rPr>
      </w:pPr>
    </w:p>
    <w:p w14:paraId="1BA3B2B0" w14:textId="77777777" w:rsidR="00CB371C" w:rsidRPr="0006358D" w:rsidRDefault="00CB371C" w:rsidP="00CB371C">
      <w:pPr>
        <w:rPr>
          <w:rFonts w:ascii="Arial" w:hAnsi="Arial" w:cs="Arial"/>
          <w:b/>
          <w:bCs/>
          <w:u w:val="single"/>
        </w:rPr>
      </w:pPr>
      <w:r w:rsidRPr="0006358D">
        <w:rPr>
          <w:rFonts w:ascii="Arial" w:hAnsi="Arial" w:cs="Arial"/>
          <w:b/>
          <w:bCs/>
          <w:u w:val="single"/>
        </w:rPr>
        <w:t>Condition</w:t>
      </w:r>
      <w:r>
        <w:rPr>
          <w:rFonts w:ascii="Arial" w:hAnsi="Arial" w:cs="Arial"/>
          <w:b/>
          <w:bCs/>
          <w:u w:val="single"/>
        </w:rPr>
        <w:t>(</w:t>
      </w:r>
      <w:r w:rsidRPr="0006358D">
        <w:rPr>
          <w:rFonts w:ascii="Arial" w:hAnsi="Arial" w:cs="Arial"/>
          <w:b/>
          <w:bCs/>
          <w:u w:val="single"/>
        </w:rPr>
        <w:t>s</w:t>
      </w:r>
      <w:r>
        <w:rPr>
          <w:rFonts w:ascii="Arial" w:hAnsi="Arial" w:cs="Arial"/>
          <w:b/>
          <w:bCs/>
          <w:u w:val="single"/>
        </w:rPr>
        <w:t>)</w:t>
      </w:r>
    </w:p>
    <w:p w14:paraId="720ACF3E" w14:textId="01668309" w:rsidR="00CB371C" w:rsidRDefault="00CB371C" w:rsidP="00CB371C">
      <w:pPr>
        <w:rPr>
          <w:rFonts w:ascii="Arial" w:hAnsi="Arial" w:cs="Arial"/>
        </w:rPr>
      </w:pPr>
      <w:r>
        <w:rPr>
          <w:rFonts w:ascii="Arial" w:hAnsi="Arial" w:cs="Arial"/>
        </w:rPr>
        <w:t xml:space="preserve">Sample of materials. </w:t>
      </w:r>
    </w:p>
    <w:p w14:paraId="1050E016" w14:textId="0274C6FA" w:rsidR="00C94783" w:rsidRPr="00CB371C" w:rsidRDefault="00C94783" w:rsidP="00CB371C">
      <w:pPr>
        <w:rPr>
          <w:rFonts w:ascii="Arial" w:hAnsi="Arial" w:cs="Arial"/>
        </w:rPr>
      </w:pPr>
      <w:r>
        <w:rPr>
          <w:rFonts w:ascii="Arial" w:hAnsi="Arial" w:cs="Arial"/>
        </w:rPr>
        <w:t xml:space="preserve">Details of boundary treatment and gates. </w:t>
      </w:r>
    </w:p>
    <w:p w14:paraId="23BD7E67" w14:textId="77777777" w:rsidR="00CB371C" w:rsidRDefault="00CB371C" w:rsidP="00CB371C">
      <w:pPr>
        <w:rPr>
          <w:rFonts w:ascii="Arial" w:hAnsi="Arial" w:cs="Arial"/>
          <w:b/>
          <w:bCs/>
          <w:i/>
          <w:iCs/>
        </w:rPr>
      </w:pPr>
    </w:p>
    <w:p w14:paraId="0916D210" w14:textId="77777777" w:rsidR="00CB371C" w:rsidRPr="0006358D" w:rsidRDefault="00CB371C" w:rsidP="00CB371C">
      <w:pPr>
        <w:rPr>
          <w:rFonts w:ascii="Arial" w:hAnsi="Arial" w:cs="Arial"/>
          <w:b/>
          <w:bCs/>
          <w:u w:val="single"/>
        </w:rPr>
      </w:pPr>
      <w:r w:rsidRPr="0006358D">
        <w:rPr>
          <w:rFonts w:ascii="Arial" w:hAnsi="Arial" w:cs="Arial"/>
          <w:b/>
          <w:bCs/>
          <w:u w:val="single"/>
        </w:rPr>
        <w:t>Policy/Legislation Overview</w:t>
      </w:r>
    </w:p>
    <w:p w14:paraId="4B855BDF" w14:textId="77777777" w:rsidR="00CB371C" w:rsidRDefault="00CB371C" w:rsidP="00CB371C">
      <w:pPr>
        <w:rPr>
          <w:rFonts w:ascii="Arial" w:hAnsi="Arial" w:cs="Arial"/>
          <w:b/>
          <w:bCs/>
        </w:rPr>
      </w:pPr>
    </w:p>
    <w:p w14:paraId="56224C5B" w14:textId="77777777" w:rsidR="00CB371C" w:rsidRPr="003D6E0F" w:rsidRDefault="00CB371C" w:rsidP="00CB371C">
      <w:pPr>
        <w:rPr>
          <w:rFonts w:ascii="Calibri" w:hAnsi="Calibri" w:cs="Calibri"/>
          <w:b/>
          <w:bCs/>
        </w:rPr>
      </w:pPr>
      <w:r w:rsidRPr="003D6E0F">
        <w:rPr>
          <w:b/>
          <w:bCs/>
        </w:rPr>
        <w:t>Planning (Listed Buildings and Conservation Areas) Act 1990</w:t>
      </w:r>
    </w:p>
    <w:p w14:paraId="7CD830CC" w14:textId="77777777" w:rsidR="00CB371C" w:rsidRPr="003D6E0F" w:rsidRDefault="00CB371C" w:rsidP="00CB371C">
      <w:pPr>
        <w:rPr>
          <w:b/>
          <w:bCs/>
        </w:rPr>
      </w:pPr>
    </w:p>
    <w:p w14:paraId="0CD4F7FA" w14:textId="77777777" w:rsidR="00CB371C" w:rsidRDefault="00CB371C" w:rsidP="00CB371C">
      <w:r>
        <w:t>s. 66 In considering whether to grant planning permission for development which affects a listed building or its setting, the local planning authority or, as the case may be, the Secretary of State shall have special regard to the desirability of preserving the building or its setting or any features of special architectural or historic interest which it possesses.</w:t>
      </w:r>
    </w:p>
    <w:p w14:paraId="6139DAA8" w14:textId="77777777" w:rsidR="00CB371C" w:rsidRDefault="00CB371C" w:rsidP="00CB371C"/>
    <w:p w14:paraId="038638A6" w14:textId="77777777" w:rsidR="00CB371C" w:rsidRDefault="00CB371C" w:rsidP="00CB371C">
      <w:r>
        <w:t>s.72 In the exercise, with respect to any buildings or other land in a conservation area, any of the provisions mentioned in subsection (2), special attention shall be paid to the desirability of preserving or enhancing the character or appearance of that area.</w:t>
      </w:r>
    </w:p>
    <w:p w14:paraId="4F37F512" w14:textId="77777777" w:rsidR="00CB371C" w:rsidRDefault="00CB371C" w:rsidP="00CB371C"/>
    <w:p w14:paraId="30C1994B" w14:textId="77777777" w:rsidR="00CB371C" w:rsidRDefault="00CB371C" w:rsidP="00CB371C">
      <w:pPr>
        <w:rPr>
          <w:b/>
          <w:bCs/>
        </w:rPr>
      </w:pPr>
      <w:r>
        <w:rPr>
          <w:b/>
          <w:bCs/>
        </w:rPr>
        <w:t>Planning Policy Wales 12</w:t>
      </w:r>
    </w:p>
    <w:p w14:paraId="0E229F5A" w14:textId="77777777" w:rsidR="00CB371C" w:rsidRDefault="00CB371C" w:rsidP="00CB371C">
      <w:pPr>
        <w:rPr>
          <w:b/>
          <w:bCs/>
        </w:rPr>
      </w:pPr>
    </w:p>
    <w:p w14:paraId="6147EFA6" w14:textId="77777777" w:rsidR="00CB371C" w:rsidRDefault="00CB371C" w:rsidP="00CB371C">
      <w:r>
        <w:t xml:space="preserve">6.1.6 Safeguard the character of historic buildings and manage change so that their special architectural and historic interest is preserved. </w:t>
      </w:r>
    </w:p>
    <w:p w14:paraId="1FC196BD" w14:textId="77777777" w:rsidR="00CB371C" w:rsidRDefault="00CB371C" w:rsidP="00CB371C"/>
    <w:p w14:paraId="60C0858F" w14:textId="77777777" w:rsidR="00CB371C" w:rsidRDefault="00CB371C" w:rsidP="00CB371C">
      <w:r>
        <w:t>6.1.10 There should be a general presumption in favour of the preservation or enhancement of a listed building and its setting, which might extend beyond its curtilage. For any development proposal affecting a listed building or its setting, the primary material consideration is the statutory requirement to have special regard to the desirability of preserving the building, its setting or any features of special architectural or historic interest which it possesses.</w:t>
      </w:r>
    </w:p>
    <w:p w14:paraId="54D0A1EE" w14:textId="77777777" w:rsidR="00CB371C" w:rsidRDefault="00CB371C" w:rsidP="00CB371C"/>
    <w:p w14:paraId="62E0FF46" w14:textId="77777777" w:rsidR="00CB371C" w:rsidRDefault="00CB371C" w:rsidP="00CB371C">
      <w:r>
        <w:t>6.1.16 Preservation or enhancement of a conservation area can be achieved by a development which either makes a positive contribution to an area's character or appearance or leaves them unharmed.</w:t>
      </w:r>
    </w:p>
    <w:p w14:paraId="6CAE1C22" w14:textId="77777777" w:rsidR="00CB371C" w:rsidRDefault="00CB371C" w:rsidP="00CB371C"/>
    <w:p w14:paraId="6E7A4048" w14:textId="77777777" w:rsidR="00CB371C" w:rsidRPr="003D6E0F" w:rsidRDefault="00CB371C" w:rsidP="00CB371C">
      <w:pPr>
        <w:rPr>
          <w:b/>
          <w:bCs/>
        </w:rPr>
      </w:pPr>
      <w:r w:rsidRPr="003D6E0F">
        <w:rPr>
          <w:b/>
          <w:bCs/>
        </w:rPr>
        <w:t xml:space="preserve">Technical Advice Note TAN 24 </w:t>
      </w:r>
    </w:p>
    <w:p w14:paraId="6300F4C7" w14:textId="77777777" w:rsidR="00CB371C" w:rsidRDefault="00CB371C" w:rsidP="00CB371C">
      <w:pPr>
        <w:rPr>
          <w:b/>
          <w:bCs/>
          <w:i/>
          <w:iCs/>
        </w:rPr>
      </w:pPr>
    </w:p>
    <w:p w14:paraId="36BB626A" w14:textId="77777777" w:rsidR="00CB371C" w:rsidRDefault="00CB371C" w:rsidP="00CB371C">
      <w:r>
        <w:t>Provides ‘guidance on how the planning system considers the historic environment during development plan preparation and decision making on planning applications’. Reference is also made to the following Managing Change Documents supporting TAN 24;</w:t>
      </w:r>
    </w:p>
    <w:p w14:paraId="4DBB5A78" w14:textId="77777777" w:rsidR="00CB371C" w:rsidRDefault="00CB371C" w:rsidP="00CB371C">
      <w:pPr>
        <w:rPr>
          <w:lang w:eastAsia="en-GB"/>
        </w:rPr>
      </w:pPr>
    </w:p>
    <w:p w14:paraId="278A7EE5" w14:textId="77777777" w:rsidR="00CB371C" w:rsidRDefault="00CB371C" w:rsidP="00CB371C">
      <w:pPr>
        <w:numPr>
          <w:ilvl w:val="0"/>
          <w:numId w:val="1"/>
        </w:numPr>
      </w:pPr>
      <w:r>
        <w:lastRenderedPageBreak/>
        <w:t>Managing Change to Listed Buildings</w:t>
      </w:r>
    </w:p>
    <w:p w14:paraId="0732CDBE" w14:textId="77777777" w:rsidR="00CB371C" w:rsidRDefault="00CB371C" w:rsidP="00CB371C">
      <w:pPr>
        <w:numPr>
          <w:ilvl w:val="0"/>
          <w:numId w:val="1"/>
        </w:numPr>
      </w:pPr>
      <w:r>
        <w:t xml:space="preserve">Managing Conservation Areas </w:t>
      </w:r>
    </w:p>
    <w:p w14:paraId="430BAE7E" w14:textId="77777777" w:rsidR="00CB371C" w:rsidRDefault="00CB371C" w:rsidP="00CB371C">
      <w:pPr>
        <w:numPr>
          <w:ilvl w:val="0"/>
          <w:numId w:val="1"/>
        </w:numPr>
      </w:pPr>
      <w:r>
        <w:t>Managing Historic Character</w:t>
      </w:r>
    </w:p>
    <w:p w14:paraId="3231E1A7" w14:textId="77777777" w:rsidR="00CB371C" w:rsidRDefault="00CB371C" w:rsidP="00CB371C">
      <w:pPr>
        <w:numPr>
          <w:ilvl w:val="0"/>
          <w:numId w:val="1"/>
        </w:numPr>
      </w:pPr>
      <w:r>
        <w:t>Managing Setting of Historic Assets</w:t>
      </w:r>
    </w:p>
    <w:p w14:paraId="3EAAA141" w14:textId="77777777" w:rsidR="00CB371C" w:rsidRDefault="00CB371C" w:rsidP="00CB371C">
      <w:pPr>
        <w:numPr>
          <w:ilvl w:val="0"/>
          <w:numId w:val="1"/>
        </w:numPr>
      </w:pPr>
      <w:r>
        <w:t xml:space="preserve">Managing Registered Historic Parks and Gardens </w:t>
      </w:r>
    </w:p>
    <w:p w14:paraId="32F90F6F" w14:textId="77777777" w:rsidR="00CB371C" w:rsidRDefault="00CB371C" w:rsidP="00CB371C">
      <w:pPr>
        <w:numPr>
          <w:ilvl w:val="0"/>
          <w:numId w:val="1"/>
        </w:numPr>
      </w:pPr>
      <w:r>
        <w:t>Managing Listed Buildings at Risk</w:t>
      </w:r>
    </w:p>
    <w:p w14:paraId="17D1E07B" w14:textId="77777777" w:rsidR="00CB371C" w:rsidRDefault="00CB371C" w:rsidP="00CB371C"/>
    <w:p w14:paraId="699D8946" w14:textId="77777777" w:rsidR="00CB371C" w:rsidRPr="003D6E0F" w:rsidRDefault="00CB371C" w:rsidP="00CB371C">
      <w:pPr>
        <w:rPr>
          <w:b/>
          <w:bCs/>
        </w:rPr>
      </w:pPr>
      <w:r w:rsidRPr="003D6E0F">
        <w:rPr>
          <w:b/>
          <w:bCs/>
        </w:rPr>
        <w:t xml:space="preserve">Local Development Plan </w:t>
      </w:r>
    </w:p>
    <w:p w14:paraId="5BA84447" w14:textId="77777777" w:rsidR="00CB371C" w:rsidRDefault="00CB371C" w:rsidP="00CB371C"/>
    <w:p w14:paraId="61504FAD" w14:textId="77777777" w:rsidR="00CB371C" w:rsidRPr="003D6E0F" w:rsidRDefault="00CB371C" w:rsidP="00CB371C">
      <w:pPr>
        <w:rPr>
          <w:rFonts w:ascii="Arial" w:hAnsi="Arial" w:cs="Arial"/>
          <w:b/>
          <w:bCs/>
        </w:rPr>
      </w:pPr>
      <w:r>
        <w:t>The Vale of Glamorgan LDP policies reflect the national policy for the strict control of development affecting conservation areas. Policy SP10 (Built and Natural Environment) and Policy MD8 (Historic Environment) set out the preserve or enhance the character or appearance of the Vale of Glamorgan’s Conservation Areas.</w:t>
      </w:r>
    </w:p>
    <w:p w14:paraId="010ABB7D" w14:textId="77777777" w:rsidR="00B94603" w:rsidRDefault="00B94603"/>
    <w:sectPr w:rsidR="00B94603" w:rsidSect="00CB371C">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125501"/>
      <w:docPartObj>
        <w:docPartGallery w:val="Page Numbers (Bottom of Page)"/>
        <w:docPartUnique/>
      </w:docPartObj>
    </w:sdtPr>
    <w:sdtEndPr>
      <w:rPr>
        <w:noProof/>
      </w:rPr>
    </w:sdtEndPr>
    <w:sdtContent>
      <w:p w14:paraId="0E946514" w14:textId="77777777" w:rsidR="00C94783" w:rsidRDefault="00C947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F65CEC" w14:textId="77777777" w:rsidR="00C94783" w:rsidRDefault="00C9478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5575F"/>
    <w:multiLevelType w:val="hybridMultilevel"/>
    <w:tmpl w:val="342015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3D801BDE"/>
    <w:multiLevelType w:val="hybridMultilevel"/>
    <w:tmpl w:val="09901588"/>
    <w:lvl w:ilvl="0" w:tplc="C1BE4C92">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02D09"/>
    <w:multiLevelType w:val="hybridMultilevel"/>
    <w:tmpl w:val="BAAC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2886210">
    <w:abstractNumId w:val="0"/>
  </w:num>
  <w:num w:numId="2" w16cid:durableId="511645802">
    <w:abstractNumId w:val="2"/>
  </w:num>
  <w:num w:numId="3" w16cid:durableId="470483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1C"/>
    <w:rsid w:val="001379AC"/>
    <w:rsid w:val="00141659"/>
    <w:rsid w:val="00266F37"/>
    <w:rsid w:val="00406D46"/>
    <w:rsid w:val="004E139B"/>
    <w:rsid w:val="004E47AE"/>
    <w:rsid w:val="00952802"/>
    <w:rsid w:val="009A68CA"/>
    <w:rsid w:val="00AF0C07"/>
    <w:rsid w:val="00B94603"/>
    <w:rsid w:val="00C33219"/>
    <w:rsid w:val="00C94783"/>
    <w:rsid w:val="00CB371C"/>
    <w:rsid w:val="00D84DF9"/>
    <w:rsid w:val="00FE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E8F3"/>
  <w15:chartTrackingRefBased/>
  <w15:docId w15:val="{22C61106-3BE5-4A6F-994B-1986558C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1C"/>
    <w:pPr>
      <w:spacing w:after="0" w:line="240" w:lineRule="auto"/>
    </w:pPr>
    <w:rPr>
      <w:kern w:val="0"/>
    </w:rPr>
  </w:style>
  <w:style w:type="paragraph" w:styleId="Heading1">
    <w:name w:val="heading 1"/>
    <w:basedOn w:val="Normal"/>
    <w:next w:val="Normal"/>
    <w:link w:val="Heading1Char"/>
    <w:autoRedefine/>
    <w:qFormat/>
    <w:rsid w:val="00266F37"/>
    <w:pPr>
      <w:keepNext/>
      <w:jc w:val="center"/>
      <w:outlineLvl w:val="0"/>
    </w:pPr>
    <w:rPr>
      <w:rFonts w:eastAsia="Times New Roman" w:cs="Times New Roman"/>
      <w:b/>
      <w:sz w:val="36"/>
      <w:szCs w:val="24"/>
    </w:rPr>
  </w:style>
  <w:style w:type="paragraph" w:styleId="Heading3">
    <w:name w:val="heading 3"/>
    <w:basedOn w:val="Normal"/>
    <w:next w:val="Normal"/>
    <w:link w:val="Heading3Char"/>
    <w:autoRedefine/>
    <w:uiPriority w:val="9"/>
    <w:semiHidden/>
    <w:unhideWhenUsed/>
    <w:qFormat/>
    <w:rsid w:val="00266F37"/>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F37"/>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266F37"/>
    <w:rPr>
      <w:rFonts w:ascii="Arial" w:eastAsiaTheme="majorEastAsia" w:hAnsi="Arial" w:cstheme="majorBidi"/>
      <w:b/>
      <w:bCs/>
      <w:sz w:val="24"/>
    </w:rPr>
  </w:style>
  <w:style w:type="paragraph" w:styleId="ListParagraph">
    <w:name w:val="List Paragraph"/>
    <w:basedOn w:val="Normal"/>
    <w:uiPriority w:val="34"/>
    <w:qFormat/>
    <w:rsid w:val="00CB371C"/>
    <w:pPr>
      <w:ind w:left="720"/>
      <w:contextualSpacing/>
    </w:pPr>
  </w:style>
  <w:style w:type="paragraph" w:styleId="Footer">
    <w:name w:val="footer"/>
    <w:basedOn w:val="Normal"/>
    <w:link w:val="FooterChar"/>
    <w:uiPriority w:val="99"/>
    <w:unhideWhenUsed/>
    <w:rsid w:val="00CB371C"/>
    <w:pPr>
      <w:tabs>
        <w:tab w:val="center" w:pos="4513"/>
        <w:tab w:val="right" w:pos="9026"/>
      </w:tabs>
    </w:pPr>
  </w:style>
  <w:style w:type="character" w:customStyle="1" w:styleId="FooterChar">
    <w:name w:val="Footer Char"/>
    <w:basedOn w:val="DefaultParagraphFont"/>
    <w:link w:val="Footer"/>
    <w:uiPriority w:val="99"/>
    <w:rsid w:val="00CB371C"/>
    <w:rPr>
      <w:kern w:val="0"/>
    </w:rPr>
  </w:style>
  <w:style w:type="table" w:styleId="TableGrid">
    <w:name w:val="Table Grid"/>
    <w:basedOn w:val="TableNormal"/>
    <w:uiPriority w:val="59"/>
    <w:rsid w:val="00CB371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3</Pages>
  <Words>827</Words>
  <Characters>4720</Characters>
  <Application>Microsoft Office Word</Application>
  <DocSecurity>0</DocSecurity>
  <Lines>39</Lines>
  <Paragraphs>11</Paragraphs>
  <ScaleCrop>false</ScaleCrop>
  <Company>Vale of Glamorgan Council</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Lindsay</dc:creator>
  <cp:keywords/>
  <dc:description/>
  <cp:lastModifiedBy>Christian, Lindsay</cp:lastModifiedBy>
  <cp:revision>2</cp:revision>
  <dcterms:created xsi:type="dcterms:W3CDTF">2024-05-13T15:12:00Z</dcterms:created>
  <dcterms:modified xsi:type="dcterms:W3CDTF">2024-05-14T08:22:00Z</dcterms:modified>
</cp:coreProperties>
</file>