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EEC7" w14:textId="77777777" w:rsidR="00330E3F" w:rsidRPr="003D6E0F" w:rsidRDefault="00330E3F" w:rsidP="00330E3F">
      <w:pPr>
        <w:rPr>
          <w:rFonts w:ascii="Arial" w:hAnsi="Arial" w:cs="Arial"/>
          <w:b/>
          <w:bCs/>
        </w:rPr>
      </w:pPr>
      <w:r w:rsidRPr="003D6E0F">
        <w:rPr>
          <w:rFonts w:ascii="Arial" w:hAnsi="Arial" w:cs="Arial"/>
          <w:b/>
          <w:bCs/>
          <w:noProof/>
        </w:rPr>
        <w:drawing>
          <wp:anchor distT="0" distB="0" distL="114300" distR="114300" simplePos="0" relativeHeight="251659264" behindDoc="1" locked="0" layoutInCell="1" allowOverlap="1" wp14:anchorId="109E8487" wp14:editId="2C4EE0B9">
            <wp:simplePos x="0" y="0"/>
            <wp:positionH relativeFrom="margin">
              <wp:align>right</wp:align>
            </wp:positionH>
            <wp:positionV relativeFrom="paragraph">
              <wp:posOffset>-438150</wp:posOffset>
            </wp:positionV>
            <wp:extent cx="1905000" cy="1571625"/>
            <wp:effectExtent l="0" t="0" r="0" b="9525"/>
            <wp:wrapNone/>
            <wp:docPr id="48695702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57021" name="Picture 1"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5000" cy="1571625"/>
                    </a:xfrm>
                    <a:prstGeom prst="rect">
                      <a:avLst/>
                    </a:prstGeom>
                  </pic:spPr>
                </pic:pic>
              </a:graphicData>
            </a:graphic>
            <wp14:sizeRelH relativeFrom="page">
              <wp14:pctWidth>0</wp14:pctWidth>
            </wp14:sizeRelH>
            <wp14:sizeRelV relativeFrom="page">
              <wp14:pctHeight>0</wp14:pctHeight>
            </wp14:sizeRelV>
          </wp:anchor>
        </w:drawing>
      </w:r>
      <w:r w:rsidRPr="003D6E0F">
        <w:rPr>
          <w:rFonts w:ascii="Arial" w:hAnsi="Arial" w:cs="Arial"/>
          <w:b/>
          <w:bCs/>
        </w:rPr>
        <w:t>MEMORANDUM / COFNOD</w:t>
      </w:r>
    </w:p>
    <w:p w14:paraId="50A647BF" w14:textId="77777777" w:rsidR="00330E3F" w:rsidRPr="003D6E0F" w:rsidRDefault="00330E3F" w:rsidP="00330E3F">
      <w:pPr>
        <w:rPr>
          <w:rFonts w:ascii="Arial" w:hAnsi="Arial" w:cs="Arial"/>
        </w:rPr>
      </w:pPr>
    </w:p>
    <w:p w14:paraId="161B432E" w14:textId="77777777" w:rsidR="00330E3F" w:rsidRPr="003D6E0F" w:rsidRDefault="00330E3F" w:rsidP="00330E3F">
      <w:pPr>
        <w:spacing w:line="276" w:lineRule="auto"/>
        <w:rPr>
          <w:rFonts w:ascii="Arial" w:hAnsi="Arial" w:cs="Arial"/>
        </w:rPr>
      </w:pPr>
      <w:r w:rsidRPr="003D6E0F">
        <w:rPr>
          <w:rFonts w:ascii="Arial" w:hAnsi="Arial" w:cs="Arial"/>
        </w:rPr>
        <w:t xml:space="preserve"> The Vale of Glamorgan Council</w:t>
      </w:r>
    </w:p>
    <w:p w14:paraId="2EECF88E" w14:textId="77777777" w:rsidR="00330E3F" w:rsidRPr="003D6E0F" w:rsidRDefault="00330E3F" w:rsidP="00330E3F">
      <w:pPr>
        <w:spacing w:line="276" w:lineRule="auto"/>
        <w:rPr>
          <w:rFonts w:ascii="Arial" w:hAnsi="Arial" w:cs="Arial"/>
        </w:rPr>
      </w:pPr>
      <w:r w:rsidRPr="003D6E0F">
        <w:rPr>
          <w:rFonts w:ascii="Arial" w:hAnsi="Arial" w:cs="Arial"/>
        </w:rPr>
        <w:t xml:space="preserve"> Development Services</w:t>
      </w:r>
    </w:p>
    <w:p w14:paraId="540825F1" w14:textId="77777777" w:rsidR="00330E3F" w:rsidRPr="003D6E0F" w:rsidRDefault="00330E3F" w:rsidP="00330E3F">
      <w:pPr>
        <w:spacing w:line="276" w:lineRule="auto"/>
        <w:rPr>
          <w:rFonts w:ascii="Arial" w:hAnsi="Arial" w:cs="Arial"/>
        </w:rPr>
      </w:pPr>
      <w:r w:rsidRPr="003D6E0F">
        <w:rPr>
          <w:rFonts w:ascii="Arial" w:hAnsi="Arial" w:cs="Arial"/>
        </w:rPr>
        <w:t xml:space="preserve"> Dock Office, Barry Docks, Barry, CF63 4RT</w:t>
      </w:r>
    </w:p>
    <w:p w14:paraId="57A47DE5" w14:textId="77777777" w:rsidR="00330E3F" w:rsidRDefault="00330E3F" w:rsidP="00330E3F">
      <w:pPr>
        <w:rPr>
          <w:rFonts w:ascii="Arial" w:hAnsi="Arial" w:cs="Arial"/>
        </w:rPr>
      </w:pPr>
    </w:p>
    <w:p w14:paraId="5C7E90E2" w14:textId="77777777" w:rsidR="00330E3F" w:rsidRDefault="00330E3F" w:rsidP="00330E3F">
      <w:pPr>
        <w:rPr>
          <w:rFonts w:ascii="Arial" w:hAnsi="Arial" w:cs="Arial"/>
        </w:rPr>
      </w:pPr>
    </w:p>
    <w:p w14:paraId="7E890E02" w14:textId="77777777" w:rsidR="00330E3F" w:rsidRDefault="00330E3F" w:rsidP="00330E3F">
      <w:pPr>
        <w:rPr>
          <w:rFonts w:ascii="Arial" w:hAnsi="Arial" w:cs="Arial"/>
        </w:rPr>
      </w:pPr>
    </w:p>
    <w:p w14:paraId="6AEB4FBF" w14:textId="77777777" w:rsidR="00330E3F" w:rsidRDefault="00330E3F" w:rsidP="00330E3F">
      <w:pPr>
        <w:rPr>
          <w:rFonts w:ascii="Arial" w:hAnsi="Arial" w:cs="Arial"/>
        </w:rPr>
      </w:pPr>
    </w:p>
    <w:tbl>
      <w:tblPr>
        <w:tblStyle w:val="TableGrid"/>
        <w:tblW w:w="0" w:type="auto"/>
        <w:tblLook w:val="04A0" w:firstRow="1" w:lastRow="0" w:firstColumn="1" w:lastColumn="0" w:noHBand="0" w:noVBand="1"/>
      </w:tblPr>
      <w:tblGrid>
        <w:gridCol w:w="2500"/>
        <w:gridCol w:w="2172"/>
        <w:gridCol w:w="2172"/>
        <w:gridCol w:w="2172"/>
      </w:tblGrid>
      <w:tr w:rsidR="00330E3F" w14:paraId="3FD9EBAD" w14:textId="77777777" w:rsidTr="007969AB">
        <w:tc>
          <w:tcPr>
            <w:tcW w:w="9016" w:type="dxa"/>
            <w:gridSpan w:val="4"/>
            <w:shd w:val="clear" w:color="auto" w:fill="D9D9D9" w:themeFill="background1" w:themeFillShade="D9"/>
          </w:tcPr>
          <w:p w14:paraId="605F3750" w14:textId="77777777" w:rsidR="00330E3F" w:rsidRPr="00861191" w:rsidRDefault="00330E3F" w:rsidP="007969AB">
            <w:pPr>
              <w:jc w:val="center"/>
              <w:rPr>
                <w:rFonts w:ascii="Arial" w:hAnsi="Arial" w:cs="Arial"/>
                <w:b/>
                <w:bCs/>
                <w:sz w:val="24"/>
                <w:szCs w:val="24"/>
              </w:rPr>
            </w:pPr>
            <w:r w:rsidRPr="00861191">
              <w:rPr>
                <w:rFonts w:ascii="Arial" w:hAnsi="Arial" w:cs="Arial"/>
                <w:b/>
                <w:bCs/>
                <w:sz w:val="24"/>
                <w:szCs w:val="24"/>
              </w:rPr>
              <w:t xml:space="preserve">CONSERVATION CONSULTATION </w:t>
            </w:r>
          </w:p>
        </w:tc>
      </w:tr>
      <w:tr w:rsidR="00330E3F" w14:paraId="0B94D3AE" w14:textId="77777777" w:rsidTr="007969AB">
        <w:tc>
          <w:tcPr>
            <w:tcW w:w="2500" w:type="dxa"/>
          </w:tcPr>
          <w:p w14:paraId="2633301B" w14:textId="77777777" w:rsidR="00330E3F" w:rsidRPr="00861191" w:rsidRDefault="00330E3F" w:rsidP="007969AB">
            <w:pPr>
              <w:spacing w:line="360" w:lineRule="auto"/>
              <w:rPr>
                <w:rFonts w:ascii="Arial" w:hAnsi="Arial" w:cs="Arial"/>
                <w:b/>
                <w:bCs/>
              </w:rPr>
            </w:pPr>
            <w:r w:rsidRPr="00861191">
              <w:rPr>
                <w:rFonts w:ascii="Arial" w:hAnsi="Arial" w:cs="Arial"/>
                <w:b/>
                <w:bCs/>
              </w:rPr>
              <w:t>Application No.</w:t>
            </w:r>
          </w:p>
        </w:tc>
        <w:tc>
          <w:tcPr>
            <w:tcW w:w="2172" w:type="dxa"/>
          </w:tcPr>
          <w:p w14:paraId="14C930A3" w14:textId="2EC87B62" w:rsidR="00330E3F" w:rsidRDefault="004007B5" w:rsidP="007969AB">
            <w:pPr>
              <w:rPr>
                <w:rFonts w:ascii="Arial" w:hAnsi="Arial" w:cs="Arial"/>
              </w:rPr>
            </w:pPr>
            <w:r w:rsidRPr="004007B5">
              <w:rPr>
                <w:rFonts w:ascii="Arial" w:hAnsi="Arial" w:cs="Arial"/>
              </w:rPr>
              <w:t>2024/00224 &amp; 2024/000235</w:t>
            </w:r>
          </w:p>
        </w:tc>
        <w:tc>
          <w:tcPr>
            <w:tcW w:w="2172" w:type="dxa"/>
          </w:tcPr>
          <w:p w14:paraId="055B92DE" w14:textId="77777777" w:rsidR="00330E3F" w:rsidRPr="00861191" w:rsidRDefault="00330E3F" w:rsidP="007969AB">
            <w:pPr>
              <w:rPr>
                <w:rFonts w:ascii="Arial" w:hAnsi="Arial" w:cs="Arial"/>
                <w:b/>
                <w:bCs/>
              </w:rPr>
            </w:pPr>
            <w:r w:rsidRPr="00861191">
              <w:rPr>
                <w:rFonts w:ascii="Arial" w:hAnsi="Arial" w:cs="Arial"/>
                <w:b/>
                <w:bCs/>
              </w:rPr>
              <w:t>Date</w:t>
            </w:r>
          </w:p>
        </w:tc>
        <w:tc>
          <w:tcPr>
            <w:tcW w:w="2172" w:type="dxa"/>
          </w:tcPr>
          <w:p w14:paraId="251E0439" w14:textId="05E5F553" w:rsidR="00330E3F" w:rsidRDefault="00B91819" w:rsidP="007969AB">
            <w:pPr>
              <w:rPr>
                <w:rFonts w:ascii="Arial" w:hAnsi="Arial" w:cs="Arial"/>
              </w:rPr>
            </w:pPr>
            <w:r>
              <w:rPr>
                <w:rFonts w:ascii="Arial" w:hAnsi="Arial" w:cs="Arial"/>
              </w:rPr>
              <w:t>07/05/2024</w:t>
            </w:r>
          </w:p>
        </w:tc>
      </w:tr>
      <w:tr w:rsidR="00330E3F" w14:paraId="0E467928" w14:textId="77777777" w:rsidTr="007969AB">
        <w:tc>
          <w:tcPr>
            <w:tcW w:w="2500" w:type="dxa"/>
          </w:tcPr>
          <w:p w14:paraId="67896CEF" w14:textId="77777777" w:rsidR="00330E3F" w:rsidRPr="00861191" w:rsidRDefault="00330E3F" w:rsidP="007969AB">
            <w:pPr>
              <w:spacing w:line="360" w:lineRule="auto"/>
              <w:rPr>
                <w:rFonts w:ascii="Arial" w:hAnsi="Arial" w:cs="Arial"/>
                <w:b/>
                <w:bCs/>
              </w:rPr>
            </w:pPr>
            <w:r w:rsidRPr="00861191">
              <w:rPr>
                <w:rFonts w:ascii="Arial" w:hAnsi="Arial" w:cs="Arial"/>
                <w:b/>
                <w:bCs/>
              </w:rPr>
              <w:t>Site</w:t>
            </w:r>
          </w:p>
        </w:tc>
        <w:tc>
          <w:tcPr>
            <w:tcW w:w="6516" w:type="dxa"/>
            <w:gridSpan w:val="3"/>
          </w:tcPr>
          <w:p w14:paraId="1E250BE8" w14:textId="07FDE1E6" w:rsidR="00330E3F" w:rsidRDefault="00B91819" w:rsidP="007969AB">
            <w:pPr>
              <w:rPr>
                <w:rFonts w:ascii="Arial" w:hAnsi="Arial" w:cs="Arial"/>
              </w:rPr>
            </w:pPr>
            <w:r>
              <w:rPr>
                <w:rFonts w:ascii="Arial" w:hAnsi="Arial" w:cs="Arial"/>
              </w:rPr>
              <w:t>Bolston House</w:t>
            </w:r>
          </w:p>
        </w:tc>
      </w:tr>
      <w:tr w:rsidR="00330E3F" w14:paraId="0DC523E2" w14:textId="77777777" w:rsidTr="007969AB">
        <w:tc>
          <w:tcPr>
            <w:tcW w:w="2500" w:type="dxa"/>
          </w:tcPr>
          <w:p w14:paraId="40A2BE03" w14:textId="77777777" w:rsidR="00330E3F" w:rsidRPr="00861191" w:rsidRDefault="00330E3F" w:rsidP="007969AB">
            <w:pPr>
              <w:spacing w:line="360" w:lineRule="auto"/>
              <w:rPr>
                <w:rFonts w:ascii="Arial" w:hAnsi="Arial" w:cs="Arial"/>
                <w:b/>
                <w:bCs/>
              </w:rPr>
            </w:pPr>
            <w:r w:rsidRPr="00861191">
              <w:rPr>
                <w:rFonts w:ascii="Arial" w:hAnsi="Arial" w:cs="Arial"/>
                <w:b/>
                <w:bCs/>
              </w:rPr>
              <w:t>Description</w:t>
            </w:r>
          </w:p>
        </w:tc>
        <w:tc>
          <w:tcPr>
            <w:tcW w:w="6516" w:type="dxa"/>
            <w:gridSpan w:val="3"/>
          </w:tcPr>
          <w:p w14:paraId="3E6041B2" w14:textId="74FBEE4D" w:rsidR="00330E3F" w:rsidRDefault="004007B5" w:rsidP="007969AB">
            <w:pPr>
              <w:rPr>
                <w:rFonts w:ascii="Arial" w:hAnsi="Arial" w:cs="Arial"/>
              </w:rPr>
            </w:pPr>
            <w:r w:rsidRPr="004007B5">
              <w:rPr>
                <w:rFonts w:ascii="Arial" w:hAnsi="Arial" w:cs="Arial"/>
              </w:rPr>
              <w:t>Demolition of the existing dwelling and re-development of the site to accommodate residential development and associated works</w:t>
            </w:r>
          </w:p>
        </w:tc>
      </w:tr>
      <w:tr w:rsidR="00330E3F" w14:paraId="2F9DDDF7" w14:textId="77777777" w:rsidTr="007969AB">
        <w:tc>
          <w:tcPr>
            <w:tcW w:w="2500" w:type="dxa"/>
          </w:tcPr>
          <w:p w14:paraId="5EFE3CE3" w14:textId="77777777" w:rsidR="00330E3F" w:rsidRPr="00861191" w:rsidRDefault="00330E3F" w:rsidP="007969AB">
            <w:pPr>
              <w:spacing w:line="360" w:lineRule="auto"/>
              <w:rPr>
                <w:rFonts w:ascii="Arial" w:hAnsi="Arial" w:cs="Arial"/>
                <w:b/>
                <w:bCs/>
              </w:rPr>
            </w:pPr>
            <w:r w:rsidRPr="00861191">
              <w:rPr>
                <w:rFonts w:ascii="Arial" w:hAnsi="Arial" w:cs="Arial"/>
                <w:b/>
                <w:bCs/>
              </w:rPr>
              <w:t>Case Officer</w:t>
            </w:r>
          </w:p>
        </w:tc>
        <w:tc>
          <w:tcPr>
            <w:tcW w:w="2172" w:type="dxa"/>
          </w:tcPr>
          <w:p w14:paraId="5A72BB9C" w14:textId="41FD4DEE" w:rsidR="00330E3F" w:rsidRDefault="00B91819" w:rsidP="007969AB">
            <w:pPr>
              <w:rPr>
                <w:rFonts w:ascii="Arial" w:hAnsi="Arial" w:cs="Arial"/>
              </w:rPr>
            </w:pPr>
            <w:r>
              <w:rPr>
                <w:rFonts w:ascii="Arial" w:hAnsi="Arial" w:cs="Arial"/>
              </w:rPr>
              <w:t>WG</w:t>
            </w:r>
          </w:p>
        </w:tc>
        <w:tc>
          <w:tcPr>
            <w:tcW w:w="2172" w:type="dxa"/>
          </w:tcPr>
          <w:p w14:paraId="7E944621" w14:textId="77777777" w:rsidR="00330E3F" w:rsidRPr="00861191" w:rsidRDefault="00330E3F" w:rsidP="007969AB">
            <w:pPr>
              <w:rPr>
                <w:rFonts w:ascii="Arial" w:hAnsi="Arial" w:cs="Arial"/>
                <w:b/>
                <w:bCs/>
              </w:rPr>
            </w:pPr>
            <w:r w:rsidRPr="00861191">
              <w:rPr>
                <w:rFonts w:ascii="Arial" w:hAnsi="Arial" w:cs="Arial"/>
                <w:b/>
                <w:bCs/>
              </w:rPr>
              <w:t xml:space="preserve">Heritage Officer </w:t>
            </w:r>
          </w:p>
        </w:tc>
        <w:tc>
          <w:tcPr>
            <w:tcW w:w="2172" w:type="dxa"/>
          </w:tcPr>
          <w:p w14:paraId="195366DD" w14:textId="734D0D2D" w:rsidR="00330E3F" w:rsidRDefault="00B91819" w:rsidP="007969AB">
            <w:pPr>
              <w:rPr>
                <w:rFonts w:ascii="Arial" w:hAnsi="Arial" w:cs="Arial"/>
              </w:rPr>
            </w:pPr>
            <w:r>
              <w:rPr>
                <w:rFonts w:ascii="Arial" w:hAnsi="Arial" w:cs="Arial"/>
              </w:rPr>
              <w:t>LC</w:t>
            </w:r>
          </w:p>
        </w:tc>
      </w:tr>
    </w:tbl>
    <w:p w14:paraId="5659109D" w14:textId="77777777" w:rsidR="00330E3F" w:rsidRDefault="00330E3F" w:rsidP="00330E3F">
      <w:pPr>
        <w:rPr>
          <w:rFonts w:ascii="Arial" w:hAnsi="Arial" w:cs="Arial"/>
        </w:rPr>
      </w:pPr>
    </w:p>
    <w:p w14:paraId="31DF469B" w14:textId="77777777" w:rsidR="00330E3F" w:rsidRDefault="00330E3F" w:rsidP="00330E3F">
      <w:pPr>
        <w:rPr>
          <w:rFonts w:ascii="Arial" w:hAnsi="Arial" w:cs="Arial"/>
        </w:rPr>
      </w:pPr>
    </w:p>
    <w:tbl>
      <w:tblPr>
        <w:tblStyle w:val="TableGrid"/>
        <w:tblW w:w="9067" w:type="dxa"/>
        <w:tblLook w:val="04A0" w:firstRow="1" w:lastRow="0" w:firstColumn="1" w:lastColumn="0" w:noHBand="0" w:noVBand="1"/>
      </w:tblPr>
      <w:tblGrid>
        <w:gridCol w:w="1726"/>
        <w:gridCol w:w="1742"/>
        <w:gridCol w:w="3048"/>
        <w:gridCol w:w="2551"/>
      </w:tblGrid>
      <w:tr w:rsidR="00330E3F" w14:paraId="0CF87F40" w14:textId="77777777" w:rsidTr="007969AB">
        <w:tc>
          <w:tcPr>
            <w:tcW w:w="1726" w:type="dxa"/>
            <w:shd w:val="clear" w:color="auto" w:fill="D9D9D9" w:themeFill="background1" w:themeFillShade="D9"/>
          </w:tcPr>
          <w:p w14:paraId="5DA46D8A" w14:textId="77777777" w:rsidR="00330E3F" w:rsidRPr="0006358D" w:rsidRDefault="00330E3F" w:rsidP="007969AB">
            <w:pPr>
              <w:rPr>
                <w:rFonts w:ascii="Arial" w:hAnsi="Arial" w:cs="Arial"/>
                <w:b/>
                <w:bCs/>
              </w:rPr>
            </w:pPr>
            <w:r w:rsidRPr="0006358D">
              <w:rPr>
                <w:rFonts w:ascii="Arial" w:hAnsi="Arial" w:cs="Arial"/>
                <w:b/>
                <w:bCs/>
              </w:rPr>
              <w:t>Objection</w:t>
            </w:r>
          </w:p>
        </w:tc>
        <w:tc>
          <w:tcPr>
            <w:tcW w:w="1742" w:type="dxa"/>
            <w:shd w:val="clear" w:color="auto" w:fill="D9D9D9" w:themeFill="background1" w:themeFillShade="D9"/>
          </w:tcPr>
          <w:p w14:paraId="080B410B" w14:textId="77777777" w:rsidR="00330E3F" w:rsidRPr="0006358D" w:rsidRDefault="00330E3F" w:rsidP="007969AB">
            <w:pPr>
              <w:rPr>
                <w:rFonts w:ascii="Arial" w:hAnsi="Arial" w:cs="Arial"/>
                <w:b/>
                <w:bCs/>
              </w:rPr>
            </w:pPr>
            <w:r w:rsidRPr="0006358D">
              <w:rPr>
                <w:rFonts w:ascii="Arial" w:hAnsi="Arial" w:cs="Arial"/>
                <w:b/>
                <w:bCs/>
              </w:rPr>
              <w:t>Comments</w:t>
            </w:r>
          </w:p>
        </w:tc>
        <w:tc>
          <w:tcPr>
            <w:tcW w:w="3048" w:type="dxa"/>
            <w:shd w:val="clear" w:color="auto" w:fill="D9D9D9" w:themeFill="background1" w:themeFillShade="D9"/>
          </w:tcPr>
          <w:p w14:paraId="32CB0AC7" w14:textId="77777777" w:rsidR="00330E3F" w:rsidRPr="0006358D" w:rsidRDefault="00330E3F" w:rsidP="007969AB">
            <w:pPr>
              <w:rPr>
                <w:rFonts w:ascii="Arial" w:hAnsi="Arial" w:cs="Arial"/>
                <w:b/>
                <w:bCs/>
              </w:rPr>
            </w:pPr>
            <w:r w:rsidRPr="0006358D">
              <w:rPr>
                <w:rFonts w:ascii="Arial" w:hAnsi="Arial" w:cs="Arial"/>
                <w:b/>
                <w:bCs/>
              </w:rPr>
              <w:t>Amendment/Further Info</w:t>
            </w:r>
          </w:p>
        </w:tc>
        <w:tc>
          <w:tcPr>
            <w:tcW w:w="2551" w:type="dxa"/>
            <w:shd w:val="clear" w:color="auto" w:fill="D9D9D9" w:themeFill="background1" w:themeFillShade="D9"/>
          </w:tcPr>
          <w:p w14:paraId="32694E95" w14:textId="77777777" w:rsidR="00330E3F" w:rsidRPr="0006358D" w:rsidRDefault="00330E3F" w:rsidP="007969AB">
            <w:pPr>
              <w:rPr>
                <w:rFonts w:ascii="Arial" w:hAnsi="Arial" w:cs="Arial"/>
                <w:b/>
                <w:bCs/>
              </w:rPr>
            </w:pPr>
            <w:r w:rsidRPr="0006358D">
              <w:rPr>
                <w:rFonts w:ascii="Arial" w:hAnsi="Arial" w:cs="Arial"/>
                <w:b/>
                <w:bCs/>
              </w:rPr>
              <w:t>Condition(s)</w:t>
            </w:r>
          </w:p>
        </w:tc>
      </w:tr>
      <w:tr w:rsidR="00330E3F" w14:paraId="410E21BC" w14:textId="77777777" w:rsidTr="007969AB">
        <w:tc>
          <w:tcPr>
            <w:tcW w:w="1726" w:type="dxa"/>
          </w:tcPr>
          <w:p w14:paraId="34367AEA" w14:textId="1287CAAA" w:rsidR="00330E3F" w:rsidRDefault="00B91819" w:rsidP="007969AB">
            <w:pPr>
              <w:rPr>
                <w:rFonts w:ascii="Arial" w:hAnsi="Arial" w:cs="Arial"/>
              </w:rPr>
            </w:pPr>
            <w:r>
              <w:rPr>
                <w:rFonts w:ascii="Arial" w:hAnsi="Arial" w:cs="Arial"/>
              </w:rPr>
              <w:t>x</w:t>
            </w:r>
          </w:p>
          <w:p w14:paraId="2916337C" w14:textId="77777777" w:rsidR="00330E3F" w:rsidRDefault="00330E3F" w:rsidP="007969AB">
            <w:pPr>
              <w:rPr>
                <w:rFonts w:ascii="Arial" w:hAnsi="Arial" w:cs="Arial"/>
              </w:rPr>
            </w:pPr>
          </w:p>
        </w:tc>
        <w:tc>
          <w:tcPr>
            <w:tcW w:w="1742" w:type="dxa"/>
          </w:tcPr>
          <w:p w14:paraId="53C1D2AB" w14:textId="01C6F27B" w:rsidR="00330E3F" w:rsidRDefault="004007B5" w:rsidP="007969AB">
            <w:pPr>
              <w:rPr>
                <w:rFonts w:ascii="Arial" w:hAnsi="Arial" w:cs="Arial"/>
              </w:rPr>
            </w:pPr>
            <w:r>
              <w:rPr>
                <w:rFonts w:ascii="Arial" w:hAnsi="Arial" w:cs="Arial"/>
              </w:rPr>
              <w:t>X</w:t>
            </w:r>
          </w:p>
        </w:tc>
        <w:tc>
          <w:tcPr>
            <w:tcW w:w="3048" w:type="dxa"/>
          </w:tcPr>
          <w:p w14:paraId="4DBBD3EB" w14:textId="0BFB7C31" w:rsidR="00330E3F" w:rsidRDefault="004007B5" w:rsidP="007969AB">
            <w:pPr>
              <w:rPr>
                <w:rFonts w:ascii="Arial" w:hAnsi="Arial" w:cs="Arial"/>
              </w:rPr>
            </w:pPr>
            <w:r>
              <w:rPr>
                <w:rFonts w:ascii="Arial" w:hAnsi="Arial" w:cs="Arial"/>
              </w:rPr>
              <w:t>X</w:t>
            </w:r>
          </w:p>
        </w:tc>
        <w:tc>
          <w:tcPr>
            <w:tcW w:w="2551" w:type="dxa"/>
          </w:tcPr>
          <w:p w14:paraId="39BDCA7E" w14:textId="452866CA" w:rsidR="00330E3F" w:rsidRDefault="00447C57" w:rsidP="007969AB">
            <w:pPr>
              <w:rPr>
                <w:rFonts w:ascii="Arial" w:hAnsi="Arial" w:cs="Arial"/>
              </w:rPr>
            </w:pPr>
            <w:r>
              <w:rPr>
                <w:rFonts w:ascii="Arial" w:hAnsi="Arial" w:cs="Arial"/>
              </w:rPr>
              <w:t>X</w:t>
            </w:r>
          </w:p>
        </w:tc>
      </w:tr>
    </w:tbl>
    <w:p w14:paraId="5630FA98" w14:textId="77777777" w:rsidR="00330E3F" w:rsidRDefault="00330E3F" w:rsidP="00330E3F">
      <w:pPr>
        <w:rPr>
          <w:rFonts w:ascii="Arial" w:hAnsi="Arial" w:cs="Arial"/>
        </w:rPr>
      </w:pPr>
    </w:p>
    <w:p w14:paraId="300A7622" w14:textId="77777777" w:rsidR="00330E3F" w:rsidRPr="003D6E0F" w:rsidRDefault="00330E3F" w:rsidP="00330E3F">
      <w:pPr>
        <w:rPr>
          <w:rFonts w:ascii="Arial" w:hAnsi="Arial" w:cs="Arial"/>
        </w:rPr>
      </w:pPr>
    </w:p>
    <w:p w14:paraId="1C62B2D2" w14:textId="77777777" w:rsidR="00330E3F" w:rsidRPr="0006358D" w:rsidRDefault="00330E3F" w:rsidP="00330E3F">
      <w:pPr>
        <w:rPr>
          <w:rFonts w:ascii="Arial" w:hAnsi="Arial" w:cs="Arial"/>
          <w:b/>
          <w:bCs/>
          <w:u w:val="single"/>
        </w:rPr>
      </w:pPr>
      <w:r w:rsidRPr="0006358D">
        <w:rPr>
          <w:rFonts w:ascii="Arial" w:hAnsi="Arial" w:cs="Arial"/>
          <w:b/>
          <w:bCs/>
          <w:u w:val="single"/>
        </w:rPr>
        <w:t>Background</w:t>
      </w:r>
    </w:p>
    <w:p w14:paraId="1172EC2C" w14:textId="497F0B62" w:rsidR="00330E3F" w:rsidRPr="00900B83" w:rsidRDefault="00900B83" w:rsidP="00330E3F">
      <w:pPr>
        <w:rPr>
          <w:rFonts w:ascii="Arial" w:hAnsi="Arial" w:cs="Arial"/>
        </w:rPr>
      </w:pPr>
      <w:r>
        <w:rPr>
          <w:rFonts w:ascii="Arial" w:hAnsi="Arial" w:cs="Arial"/>
        </w:rPr>
        <w:t>Bolston House is located within the Bonvilston Conservation Area.</w:t>
      </w:r>
    </w:p>
    <w:p w14:paraId="117DC0F0" w14:textId="77777777" w:rsidR="00900B83" w:rsidRDefault="00900B83" w:rsidP="00900B83">
      <w:pPr>
        <w:rPr>
          <w:rFonts w:ascii="Arial" w:hAnsi="Arial" w:cs="Arial"/>
        </w:rPr>
      </w:pPr>
    </w:p>
    <w:p w14:paraId="040B4523" w14:textId="4D854C81" w:rsidR="00900B83" w:rsidRPr="00B91819" w:rsidRDefault="00900B83" w:rsidP="00900B83">
      <w:pPr>
        <w:rPr>
          <w:rFonts w:ascii="Arial" w:hAnsi="Arial" w:cs="Arial"/>
        </w:rPr>
      </w:pPr>
      <w:r>
        <w:rPr>
          <w:rFonts w:ascii="Arial" w:hAnsi="Arial" w:cs="Arial"/>
        </w:rPr>
        <w:t xml:space="preserve">It is also worth noting that the two neighbouring properties i.e. Woodlands Lodge and The Red Lion are not only identified as buildings making a positive impact on the Conservation Area but are also identified as County Treasures. Whilst these buildings are not part of the application site the proposal is able to impact on their setting which is a policy consideration as set out in </w:t>
      </w:r>
      <w:r w:rsidR="004022A9">
        <w:rPr>
          <w:rFonts w:ascii="Arial" w:hAnsi="Arial" w:cs="Arial"/>
        </w:rPr>
        <w:t xml:space="preserve">LDP </w:t>
      </w:r>
      <w:r>
        <w:rPr>
          <w:rFonts w:ascii="Arial" w:hAnsi="Arial" w:cs="Arial"/>
        </w:rPr>
        <w:t xml:space="preserve">policy </w:t>
      </w:r>
      <w:r w:rsidR="004022A9">
        <w:rPr>
          <w:rFonts w:ascii="Arial" w:hAnsi="Arial" w:cs="Arial"/>
        </w:rPr>
        <w:t>MD8</w:t>
      </w:r>
      <w:r>
        <w:rPr>
          <w:rFonts w:ascii="Arial" w:hAnsi="Arial" w:cs="Arial"/>
        </w:rPr>
        <w:t xml:space="preserve">. </w:t>
      </w:r>
    </w:p>
    <w:p w14:paraId="4B7246A8" w14:textId="77777777" w:rsidR="00330E3F" w:rsidRDefault="00330E3F" w:rsidP="00330E3F">
      <w:pPr>
        <w:rPr>
          <w:rFonts w:ascii="Arial" w:hAnsi="Arial" w:cs="Arial"/>
        </w:rPr>
      </w:pPr>
    </w:p>
    <w:p w14:paraId="7A0D7C6F" w14:textId="77777777" w:rsidR="00330E3F" w:rsidRPr="003F6752" w:rsidRDefault="00330E3F" w:rsidP="00330E3F">
      <w:pPr>
        <w:rPr>
          <w:rFonts w:ascii="Arial" w:hAnsi="Arial" w:cs="Arial"/>
          <w:b/>
          <w:bCs/>
        </w:rPr>
      </w:pPr>
      <w:r w:rsidRPr="003F6752">
        <w:rPr>
          <w:rFonts w:ascii="Arial" w:hAnsi="Arial" w:cs="Arial"/>
          <w:b/>
          <w:bCs/>
        </w:rPr>
        <w:t xml:space="preserve">Relevant Planning History </w:t>
      </w:r>
    </w:p>
    <w:tbl>
      <w:tblPr>
        <w:tblStyle w:val="TableGrid"/>
        <w:tblW w:w="0" w:type="auto"/>
        <w:tblLook w:val="04A0" w:firstRow="1" w:lastRow="0" w:firstColumn="1" w:lastColumn="0" w:noHBand="0" w:noVBand="1"/>
      </w:tblPr>
      <w:tblGrid>
        <w:gridCol w:w="3005"/>
        <w:gridCol w:w="3005"/>
        <w:gridCol w:w="3006"/>
      </w:tblGrid>
      <w:tr w:rsidR="00330E3F" w14:paraId="2E74B3CA" w14:textId="77777777" w:rsidTr="007969AB">
        <w:tc>
          <w:tcPr>
            <w:tcW w:w="3005" w:type="dxa"/>
            <w:shd w:val="clear" w:color="auto" w:fill="D9D9D9" w:themeFill="background1" w:themeFillShade="D9"/>
          </w:tcPr>
          <w:p w14:paraId="726BB39E" w14:textId="77777777" w:rsidR="00330E3F" w:rsidRPr="003F6752" w:rsidRDefault="00330E3F" w:rsidP="007969AB">
            <w:pPr>
              <w:rPr>
                <w:rFonts w:ascii="Arial" w:hAnsi="Arial" w:cs="Arial"/>
                <w:b/>
                <w:bCs/>
              </w:rPr>
            </w:pPr>
            <w:r w:rsidRPr="003F6752">
              <w:rPr>
                <w:rFonts w:ascii="Arial" w:hAnsi="Arial" w:cs="Arial"/>
                <w:b/>
                <w:bCs/>
              </w:rPr>
              <w:t>Planning App Ref</w:t>
            </w:r>
          </w:p>
        </w:tc>
        <w:tc>
          <w:tcPr>
            <w:tcW w:w="3005" w:type="dxa"/>
            <w:shd w:val="clear" w:color="auto" w:fill="D9D9D9" w:themeFill="background1" w:themeFillShade="D9"/>
          </w:tcPr>
          <w:p w14:paraId="28D6B9FF" w14:textId="77777777" w:rsidR="00330E3F" w:rsidRPr="003F6752" w:rsidRDefault="00330E3F" w:rsidP="007969AB">
            <w:pPr>
              <w:rPr>
                <w:rFonts w:ascii="Arial" w:hAnsi="Arial" w:cs="Arial"/>
                <w:b/>
                <w:bCs/>
              </w:rPr>
            </w:pPr>
            <w:r w:rsidRPr="003F6752">
              <w:rPr>
                <w:rFonts w:ascii="Arial" w:hAnsi="Arial" w:cs="Arial"/>
                <w:b/>
                <w:bCs/>
              </w:rPr>
              <w:t>Description</w:t>
            </w:r>
          </w:p>
        </w:tc>
        <w:tc>
          <w:tcPr>
            <w:tcW w:w="3006" w:type="dxa"/>
            <w:shd w:val="clear" w:color="auto" w:fill="D9D9D9" w:themeFill="background1" w:themeFillShade="D9"/>
          </w:tcPr>
          <w:p w14:paraId="50AA4061" w14:textId="77777777" w:rsidR="00330E3F" w:rsidRPr="003F6752" w:rsidRDefault="00330E3F" w:rsidP="007969AB">
            <w:pPr>
              <w:rPr>
                <w:rFonts w:ascii="Arial" w:hAnsi="Arial" w:cs="Arial"/>
                <w:b/>
                <w:bCs/>
              </w:rPr>
            </w:pPr>
            <w:r w:rsidRPr="003F6752">
              <w:rPr>
                <w:rFonts w:ascii="Arial" w:hAnsi="Arial" w:cs="Arial"/>
                <w:b/>
                <w:bCs/>
              </w:rPr>
              <w:t>Decision</w:t>
            </w:r>
          </w:p>
        </w:tc>
      </w:tr>
      <w:tr w:rsidR="00330E3F" w14:paraId="0DC61951" w14:textId="77777777" w:rsidTr="007969AB">
        <w:tc>
          <w:tcPr>
            <w:tcW w:w="3005" w:type="dxa"/>
          </w:tcPr>
          <w:p w14:paraId="0049EE5F" w14:textId="77777777" w:rsidR="00330E3F" w:rsidRDefault="00330E3F" w:rsidP="007969AB">
            <w:pPr>
              <w:rPr>
                <w:rFonts w:ascii="Arial" w:hAnsi="Arial" w:cs="Arial"/>
              </w:rPr>
            </w:pPr>
            <w:r>
              <w:rPr>
                <w:rFonts w:ascii="Arial" w:hAnsi="Arial" w:cs="Arial"/>
              </w:rPr>
              <w:t>2021/00423</w:t>
            </w:r>
            <w:r w:rsidR="00447C57">
              <w:rPr>
                <w:rFonts w:ascii="Arial" w:hAnsi="Arial" w:cs="Arial"/>
              </w:rPr>
              <w:t>/FUL</w:t>
            </w:r>
          </w:p>
          <w:p w14:paraId="4E220B19" w14:textId="43D1FFE0" w:rsidR="00447C57" w:rsidRDefault="00447C57" w:rsidP="007969AB">
            <w:pPr>
              <w:rPr>
                <w:rFonts w:ascii="Arial" w:hAnsi="Arial" w:cs="Arial"/>
              </w:rPr>
            </w:pPr>
            <w:r>
              <w:rPr>
                <w:rFonts w:ascii="Arial" w:hAnsi="Arial" w:cs="Arial"/>
              </w:rPr>
              <w:t>2021/00424/CAC</w:t>
            </w:r>
          </w:p>
        </w:tc>
        <w:tc>
          <w:tcPr>
            <w:tcW w:w="3005" w:type="dxa"/>
          </w:tcPr>
          <w:p w14:paraId="0B109933" w14:textId="68658C3F" w:rsidR="00330E3F" w:rsidRDefault="00447C57" w:rsidP="007969AB">
            <w:pPr>
              <w:rPr>
                <w:rFonts w:ascii="Arial" w:hAnsi="Arial" w:cs="Arial"/>
              </w:rPr>
            </w:pPr>
            <w:r w:rsidRPr="00447C57">
              <w:rPr>
                <w:rFonts w:ascii="Arial" w:hAnsi="Arial" w:cs="Arial"/>
              </w:rPr>
              <w:t>Demolition of the existing dwelling and redevelopment of the site to accommodate residential development and associated works</w:t>
            </w:r>
          </w:p>
        </w:tc>
        <w:tc>
          <w:tcPr>
            <w:tcW w:w="3006" w:type="dxa"/>
          </w:tcPr>
          <w:p w14:paraId="16D1E836" w14:textId="521A6A51" w:rsidR="00330E3F" w:rsidRDefault="00447C57" w:rsidP="007969AB">
            <w:pPr>
              <w:rPr>
                <w:rFonts w:ascii="Arial" w:hAnsi="Arial" w:cs="Arial"/>
              </w:rPr>
            </w:pPr>
            <w:r>
              <w:rPr>
                <w:rFonts w:ascii="Arial" w:hAnsi="Arial" w:cs="Arial"/>
              </w:rPr>
              <w:t>Appeal Dismissed 8/11/2023</w:t>
            </w:r>
          </w:p>
        </w:tc>
      </w:tr>
    </w:tbl>
    <w:p w14:paraId="03C5E6A9" w14:textId="77777777" w:rsidR="00330E3F" w:rsidRPr="003D6E0F" w:rsidRDefault="00330E3F" w:rsidP="00330E3F">
      <w:pPr>
        <w:rPr>
          <w:rFonts w:ascii="Arial" w:hAnsi="Arial" w:cs="Arial"/>
        </w:rPr>
      </w:pPr>
    </w:p>
    <w:p w14:paraId="5A2E97A4" w14:textId="77777777" w:rsidR="00330E3F" w:rsidRPr="003D6E0F" w:rsidRDefault="00330E3F" w:rsidP="00330E3F">
      <w:pPr>
        <w:rPr>
          <w:rFonts w:ascii="Arial" w:hAnsi="Arial" w:cs="Arial"/>
          <w:b/>
          <w:bCs/>
        </w:rPr>
      </w:pPr>
    </w:p>
    <w:p w14:paraId="487C5BE6" w14:textId="77777777" w:rsidR="00330E3F" w:rsidRPr="0006358D" w:rsidRDefault="00330E3F" w:rsidP="00330E3F">
      <w:pPr>
        <w:autoSpaceDE w:val="0"/>
        <w:autoSpaceDN w:val="0"/>
        <w:adjustRightInd w:val="0"/>
        <w:jc w:val="both"/>
        <w:rPr>
          <w:rFonts w:ascii="Arial" w:hAnsi="Arial" w:cs="Arial"/>
          <w:b/>
          <w:iCs/>
          <w:sz w:val="24"/>
          <w:szCs w:val="24"/>
          <w:u w:val="single"/>
          <w:lang w:eastAsia="en-GB"/>
        </w:rPr>
      </w:pPr>
      <w:r w:rsidRPr="0006358D">
        <w:rPr>
          <w:rFonts w:ascii="Arial" w:hAnsi="Arial" w:cs="Arial"/>
          <w:b/>
          <w:iCs/>
          <w:sz w:val="24"/>
          <w:szCs w:val="24"/>
          <w:u w:val="single"/>
          <w:lang w:eastAsia="en-GB"/>
        </w:rPr>
        <w:t xml:space="preserve">Assessment of significance: </w:t>
      </w:r>
    </w:p>
    <w:p w14:paraId="4D745370" w14:textId="2AD0F8FC" w:rsidR="00252063" w:rsidRPr="001749EC" w:rsidRDefault="00B91819" w:rsidP="001749EC">
      <w:pPr>
        <w:pStyle w:val="Default"/>
        <w:jc w:val="both"/>
        <w:rPr>
          <w:sz w:val="22"/>
          <w:szCs w:val="22"/>
        </w:rPr>
      </w:pPr>
      <w:r w:rsidRPr="001749EC">
        <w:rPr>
          <w:sz w:val="22"/>
          <w:szCs w:val="22"/>
        </w:rPr>
        <w:t>The application site is located within the historic core of the village. The site itself is made up of a</w:t>
      </w:r>
      <w:r w:rsidR="00900B83" w:rsidRPr="001749EC">
        <w:rPr>
          <w:sz w:val="22"/>
          <w:szCs w:val="22"/>
        </w:rPr>
        <w:t xml:space="preserve"> large plot with a </w:t>
      </w:r>
      <w:r w:rsidRPr="001749EC">
        <w:rPr>
          <w:sz w:val="22"/>
          <w:szCs w:val="22"/>
        </w:rPr>
        <w:t xml:space="preserve">single residential dwelling set </w:t>
      </w:r>
      <w:r w:rsidR="00900B83" w:rsidRPr="001749EC">
        <w:rPr>
          <w:sz w:val="22"/>
          <w:szCs w:val="22"/>
        </w:rPr>
        <w:t xml:space="preserve">amongst </w:t>
      </w:r>
      <w:r w:rsidRPr="001749EC">
        <w:rPr>
          <w:sz w:val="22"/>
          <w:szCs w:val="22"/>
        </w:rPr>
        <w:t xml:space="preserve">trees and screened by a high stone rubble wall at its southern boundary. </w:t>
      </w:r>
      <w:r w:rsidR="00252063" w:rsidRPr="001749EC">
        <w:rPr>
          <w:sz w:val="22"/>
          <w:szCs w:val="22"/>
        </w:rPr>
        <w:t xml:space="preserve">The Conservation Appraisal and Management Plan notes that “Roadside walls built from the same grey limestone rubble blocks of varying sizes are a prominent feature of the Conservation Area and help to maintain a historic character to the village centre. The walls can be from one metre to nearly three metres high. Notable walls are shown on the Appraisal map…”. The wall that makes up the southern boundary to the site is noted as a significant stone wall. </w:t>
      </w:r>
    </w:p>
    <w:p w14:paraId="35F0ABB2" w14:textId="02B1D91E" w:rsidR="00252063" w:rsidRPr="001749EC" w:rsidRDefault="00252063" w:rsidP="001749EC">
      <w:pPr>
        <w:jc w:val="both"/>
        <w:rPr>
          <w:rFonts w:ascii="Arial" w:hAnsi="Arial" w:cs="Arial"/>
        </w:rPr>
      </w:pPr>
    </w:p>
    <w:p w14:paraId="34249354" w14:textId="2918E2DC" w:rsidR="00B91819" w:rsidRPr="001749EC" w:rsidRDefault="00B91819" w:rsidP="001749EC">
      <w:pPr>
        <w:jc w:val="both"/>
        <w:rPr>
          <w:rFonts w:ascii="Arial" w:hAnsi="Arial" w:cs="Arial"/>
        </w:rPr>
      </w:pPr>
      <w:r w:rsidRPr="001749EC">
        <w:rPr>
          <w:rFonts w:ascii="Arial" w:hAnsi="Arial" w:cs="Arial"/>
        </w:rPr>
        <w:lastRenderedPageBreak/>
        <w:t xml:space="preserve">It was previously accepted (2021/00423/FUL) that </w:t>
      </w:r>
      <w:r w:rsidR="00900B83" w:rsidRPr="001749EC">
        <w:rPr>
          <w:rFonts w:ascii="Arial" w:hAnsi="Arial" w:cs="Arial"/>
        </w:rPr>
        <w:t>Bolston House itself</w:t>
      </w:r>
      <w:r w:rsidRPr="001749EC">
        <w:rPr>
          <w:rFonts w:ascii="Arial" w:hAnsi="Arial" w:cs="Arial"/>
        </w:rPr>
        <w:t xml:space="preserve"> does not make a positive contribution to the special interest of the conservation area and so the acceptability of demolition rests on the acceptability of the reuse of the site.</w:t>
      </w:r>
      <w:r w:rsidR="00252063" w:rsidRPr="001749EC">
        <w:rPr>
          <w:rFonts w:ascii="Arial" w:hAnsi="Arial" w:cs="Arial"/>
        </w:rPr>
        <w:t xml:space="preserve"> </w:t>
      </w:r>
      <w:r w:rsidRPr="001749EC">
        <w:rPr>
          <w:rFonts w:ascii="Arial" w:hAnsi="Arial" w:cs="Arial"/>
        </w:rPr>
        <w:t xml:space="preserve">The stone wall and trees however do make a particularly important impact to the character of the area as noted in the Conservation Area Appraisal and Management Plan. </w:t>
      </w:r>
    </w:p>
    <w:p w14:paraId="5D08F552" w14:textId="77777777" w:rsidR="00330E3F" w:rsidRPr="001749EC" w:rsidRDefault="00330E3F" w:rsidP="001749EC">
      <w:pPr>
        <w:jc w:val="both"/>
        <w:rPr>
          <w:rFonts w:ascii="Arial" w:hAnsi="Arial" w:cs="Arial"/>
          <w:b/>
          <w:bCs/>
        </w:rPr>
      </w:pPr>
    </w:p>
    <w:p w14:paraId="3BB8224E" w14:textId="77777777" w:rsidR="00330E3F" w:rsidRPr="001749EC" w:rsidRDefault="00330E3F" w:rsidP="001749EC">
      <w:pPr>
        <w:jc w:val="both"/>
        <w:rPr>
          <w:rFonts w:ascii="Arial" w:hAnsi="Arial" w:cs="Arial"/>
          <w:b/>
          <w:bCs/>
          <w:u w:val="single"/>
        </w:rPr>
      </w:pPr>
      <w:r w:rsidRPr="001749EC">
        <w:rPr>
          <w:rFonts w:ascii="Arial" w:hAnsi="Arial" w:cs="Arial"/>
          <w:b/>
          <w:bCs/>
          <w:u w:val="single"/>
        </w:rPr>
        <w:t>Comments</w:t>
      </w:r>
    </w:p>
    <w:p w14:paraId="1BC52603" w14:textId="3F0E699D" w:rsidR="00B91819" w:rsidRPr="001749EC" w:rsidRDefault="00636A7A" w:rsidP="001749EC">
      <w:pPr>
        <w:pStyle w:val="Default"/>
        <w:jc w:val="both"/>
        <w:rPr>
          <w:sz w:val="22"/>
          <w:szCs w:val="22"/>
        </w:rPr>
      </w:pPr>
      <w:r w:rsidRPr="001749EC">
        <w:rPr>
          <w:sz w:val="22"/>
          <w:szCs w:val="22"/>
        </w:rPr>
        <w:t xml:space="preserve">The proposed development of the site would see the development of </w:t>
      </w:r>
      <w:r w:rsidR="004007B5" w:rsidRPr="001749EC">
        <w:rPr>
          <w:sz w:val="22"/>
          <w:szCs w:val="22"/>
        </w:rPr>
        <w:t>14</w:t>
      </w:r>
      <w:r w:rsidRPr="001749EC">
        <w:rPr>
          <w:sz w:val="22"/>
          <w:szCs w:val="22"/>
        </w:rPr>
        <w:t xml:space="preserve"> houses within the plot which shall have an impact on the </w:t>
      </w:r>
      <w:r w:rsidR="00900B83" w:rsidRPr="001749EC">
        <w:rPr>
          <w:sz w:val="22"/>
          <w:szCs w:val="22"/>
        </w:rPr>
        <w:t xml:space="preserve">open nature of the </w:t>
      </w:r>
      <w:r w:rsidRPr="001749EC">
        <w:rPr>
          <w:sz w:val="22"/>
          <w:szCs w:val="22"/>
        </w:rPr>
        <w:t xml:space="preserve">site which is </w:t>
      </w:r>
      <w:r w:rsidR="00900B83" w:rsidRPr="001749EC">
        <w:rPr>
          <w:sz w:val="22"/>
          <w:szCs w:val="22"/>
        </w:rPr>
        <w:t xml:space="preserve">currently </w:t>
      </w:r>
      <w:r w:rsidRPr="001749EC">
        <w:rPr>
          <w:sz w:val="22"/>
          <w:szCs w:val="22"/>
        </w:rPr>
        <w:t xml:space="preserve">well screened and has only one </w:t>
      </w:r>
      <w:r w:rsidR="00900B83" w:rsidRPr="001749EC">
        <w:rPr>
          <w:sz w:val="22"/>
          <w:szCs w:val="22"/>
        </w:rPr>
        <w:t>house within the grounds</w:t>
      </w:r>
      <w:r w:rsidRPr="001749EC">
        <w:rPr>
          <w:sz w:val="22"/>
          <w:szCs w:val="22"/>
        </w:rPr>
        <w:t xml:space="preserve">. </w:t>
      </w:r>
      <w:r w:rsidR="004022A9" w:rsidRPr="001749EC">
        <w:rPr>
          <w:sz w:val="22"/>
          <w:szCs w:val="22"/>
        </w:rPr>
        <w:t>In the main t</w:t>
      </w:r>
      <w:r w:rsidRPr="001749EC">
        <w:rPr>
          <w:sz w:val="22"/>
          <w:szCs w:val="22"/>
        </w:rPr>
        <w:t xml:space="preserve">he proposed houses </w:t>
      </w:r>
      <w:r w:rsidR="004022A9" w:rsidRPr="001749EC">
        <w:rPr>
          <w:sz w:val="22"/>
          <w:szCs w:val="22"/>
        </w:rPr>
        <w:t xml:space="preserve">are considered to </w:t>
      </w:r>
      <w:r w:rsidRPr="001749EC">
        <w:rPr>
          <w:sz w:val="22"/>
          <w:szCs w:val="22"/>
        </w:rPr>
        <w:t>have a limited impact</w:t>
      </w:r>
      <w:r w:rsidR="004022A9" w:rsidRPr="001749EC">
        <w:rPr>
          <w:sz w:val="22"/>
          <w:szCs w:val="22"/>
        </w:rPr>
        <w:t xml:space="preserve"> due to the screening from the wall and site layout, this is</w:t>
      </w:r>
      <w:r w:rsidRPr="001749EC">
        <w:rPr>
          <w:sz w:val="22"/>
          <w:szCs w:val="22"/>
        </w:rPr>
        <w:t xml:space="preserve"> </w:t>
      </w:r>
      <w:r w:rsidR="00252063" w:rsidRPr="001749EC">
        <w:rPr>
          <w:sz w:val="22"/>
          <w:szCs w:val="22"/>
        </w:rPr>
        <w:t>apart</w:t>
      </w:r>
      <w:r w:rsidRPr="001749EC">
        <w:rPr>
          <w:sz w:val="22"/>
          <w:szCs w:val="22"/>
        </w:rPr>
        <w:t xml:space="preserve"> from plots </w:t>
      </w:r>
      <w:r w:rsidR="004007B5" w:rsidRPr="001749EC">
        <w:rPr>
          <w:sz w:val="22"/>
          <w:szCs w:val="22"/>
        </w:rPr>
        <w:t>5</w:t>
      </w:r>
      <w:r w:rsidRPr="001749EC">
        <w:rPr>
          <w:sz w:val="22"/>
          <w:szCs w:val="22"/>
        </w:rPr>
        <w:t xml:space="preserve"> and </w:t>
      </w:r>
      <w:r w:rsidR="004007B5" w:rsidRPr="001749EC">
        <w:rPr>
          <w:sz w:val="22"/>
          <w:szCs w:val="22"/>
        </w:rPr>
        <w:t>13/14</w:t>
      </w:r>
      <w:r w:rsidR="004022A9" w:rsidRPr="001749EC">
        <w:rPr>
          <w:sz w:val="22"/>
          <w:szCs w:val="22"/>
        </w:rPr>
        <w:t xml:space="preserve"> which are visible from the A48</w:t>
      </w:r>
      <w:r w:rsidRPr="001749EC">
        <w:rPr>
          <w:sz w:val="22"/>
          <w:szCs w:val="22"/>
        </w:rPr>
        <w:t>. Plot</w:t>
      </w:r>
      <w:r w:rsidR="00900B83" w:rsidRPr="001749EC">
        <w:rPr>
          <w:sz w:val="22"/>
          <w:szCs w:val="22"/>
        </w:rPr>
        <w:t>s</w:t>
      </w:r>
      <w:r w:rsidRPr="001749EC">
        <w:rPr>
          <w:sz w:val="22"/>
          <w:szCs w:val="22"/>
        </w:rPr>
        <w:t xml:space="preserve"> </w:t>
      </w:r>
      <w:r w:rsidR="004007B5" w:rsidRPr="001749EC">
        <w:rPr>
          <w:sz w:val="22"/>
          <w:szCs w:val="22"/>
        </w:rPr>
        <w:t>13/14</w:t>
      </w:r>
      <w:r w:rsidRPr="001749EC">
        <w:rPr>
          <w:sz w:val="22"/>
          <w:szCs w:val="22"/>
        </w:rPr>
        <w:t xml:space="preserve"> </w:t>
      </w:r>
      <w:r w:rsidR="00900B83" w:rsidRPr="001749EC">
        <w:rPr>
          <w:sz w:val="22"/>
          <w:szCs w:val="22"/>
        </w:rPr>
        <w:t>are</w:t>
      </w:r>
      <w:r w:rsidRPr="001749EC">
        <w:rPr>
          <w:sz w:val="22"/>
          <w:szCs w:val="22"/>
        </w:rPr>
        <w:t xml:space="preserve"> located </w:t>
      </w:r>
      <w:r w:rsidR="004022A9" w:rsidRPr="001749EC">
        <w:rPr>
          <w:sz w:val="22"/>
          <w:szCs w:val="22"/>
        </w:rPr>
        <w:t xml:space="preserve">adjacent </w:t>
      </w:r>
      <w:r w:rsidRPr="001749EC">
        <w:rPr>
          <w:sz w:val="22"/>
          <w:szCs w:val="22"/>
        </w:rPr>
        <w:t>to the south</w:t>
      </w:r>
      <w:r w:rsidR="004022A9" w:rsidRPr="001749EC">
        <w:rPr>
          <w:sz w:val="22"/>
          <w:szCs w:val="22"/>
        </w:rPr>
        <w:t>ern boundary</w:t>
      </w:r>
      <w:r w:rsidRPr="001749EC">
        <w:rPr>
          <w:sz w:val="22"/>
          <w:szCs w:val="22"/>
        </w:rPr>
        <w:t xml:space="preserve"> and </w:t>
      </w:r>
      <w:r w:rsidR="00900B83" w:rsidRPr="001749EC">
        <w:rPr>
          <w:sz w:val="22"/>
          <w:szCs w:val="22"/>
        </w:rPr>
        <w:t>are</w:t>
      </w:r>
      <w:r w:rsidRPr="001749EC">
        <w:rPr>
          <w:sz w:val="22"/>
          <w:szCs w:val="22"/>
        </w:rPr>
        <w:t xml:space="preserve"> visible behind the retained high stone wall. </w:t>
      </w:r>
      <w:r w:rsidR="00900B83" w:rsidRPr="001749EC">
        <w:rPr>
          <w:sz w:val="22"/>
          <w:szCs w:val="22"/>
        </w:rPr>
        <w:t>Whilst t</w:t>
      </w:r>
      <w:r w:rsidRPr="001749EC">
        <w:rPr>
          <w:sz w:val="22"/>
          <w:szCs w:val="22"/>
        </w:rPr>
        <w:t xml:space="preserve">he </w:t>
      </w:r>
      <w:r w:rsidR="00900B83" w:rsidRPr="001749EC">
        <w:rPr>
          <w:sz w:val="22"/>
          <w:szCs w:val="22"/>
        </w:rPr>
        <w:t xml:space="preserve">existing </w:t>
      </w:r>
      <w:r w:rsidRPr="001749EC">
        <w:rPr>
          <w:sz w:val="22"/>
          <w:szCs w:val="22"/>
        </w:rPr>
        <w:t>wall and planting shall provide some mitigation</w:t>
      </w:r>
      <w:r w:rsidR="004022A9" w:rsidRPr="001749EC">
        <w:rPr>
          <w:sz w:val="22"/>
          <w:szCs w:val="22"/>
        </w:rPr>
        <w:t>, and the presence of houses behind boundary walls in a common feature of the area. I</w:t>
      </w:r>
      <w:r w:rsidRPr="001749EC">
        <w:rPr>
          <w:sz w:val="22"/>
          <w:szCs w:val="22"/>
        </w:rPr>
        <w:t>t is considered that the proposed fenestration</w:t>
      </w:r>
      <w:r w:rsidR="00900B83" w:rsidRPr="001749EC">
        <w:rPr>
          <w:sz w:val="22"/>
          <w:szCs w:val="22"/>
        </w:rPr>
        <w:t>, visible at first floor,</w:t>
      </w:r>
      <w:r w:rsidRPr="001749EC">
        <w:rPr>
          <w:sz w:val="22"/>
          <w:szCs w:val="22"/>
        </w:rPr>
        <w:t xml:space="preserve"> is </w:t>
      </w:r>
      <w:r w:rsidR="00665BD3" w:rsidRPr="001749EC">
        <w:rPr>
          <w:sz w:val="22"/>
          <w:szCs w:val="22"/>
        </w:rPr>
        <w:t>out of keeping with the traditional style of the proposed building and that proposed on the northern gable end is more in keeping. Similarly</w:t>
      </w:r>
      <w:r w:rsidR="004022A9" w:rsidRPr="001749EC">
        <w:rPr>
          <w:sz w:val="22"/>
          <w:szCs w:val="22"/>
        </w:rPr>
        <w:t>,</w:t>
      </w:r>
      <w:r w:rsidR="00665BD3" w:rsidRPr="001749EC">
        <w:rPr>
          <w:sz w:val="22"/>
          <w:szCs w:val="22"/>
        </w:rPr>
        <w:t xml:space="preserve"> the use of cladding to the western elevation is out of character and the use of render or stone is considered more in keeping. </w:t>
      </w:r>
      <w:r w:rsidRPr="001749EC">
        <w:rPr>
          <w:sz w:val="22"/>
          <w:szCs w:val="22"/>
        </w:rPr>
        <w:t xml:space="preserve">Plot </w:t>
      </w:r>
      <w:r w:rsidR="004007B5" w:rsidRPr="001749EC">
        <w:rPr>
          <w:sz w:val="22"/>
          <w:szCs w:val="22"/>
        </w:rPr>
        <w:t>5</w:t>
      </w:r>
      <w:r w:rsidRPr="001749EC">
        <w:rPr>
          <w:sz w:val="22"/>
          <w:szCs w:val="22"/>
        </w:rPr>
        <w:t xml:space="preserve"> shall </w:t>
      </w:r>
      <w:r w:rsidR="00665BD3" w:rsidRPr="001749EC">
        <w:rPr>
          <w:sz w:val="22"/>
          <w:szCs w:val="22"/>
        </w:rPr>
        <w:t xml:space="preserve">also </w:t>
      </w:r>
      <w:r w:rsidRPr="001749EC">
        <w:rPr>
          <w:sz w:val="22"/>
          <w:szCs w:val="22"/>
        </w:rPr>
        <w:t xml:space="preserve">be visible across the car park of The Red Lion </w:t>
      </w:r>
      <w:r w:rsidR="00665BD3" w:rsidRPr="001749EC">
        <w:rPr>
          <w:sz w:val="22"/>
          <w:szCs w:val="22"/>
        </w:rPr>
        <w:t>and subject to samples of materials there are no adverse heritage impacts noted.</w:t>
      </w:r>
    </w:p>
    <w:p w14:paraId="7ADED7C9" w14:textId="77777777" w:rsidR="00636A7A" w:rsidRPr="001749EC" w:rsidRDefault="00636A7A" w:rsidP="001749EC">
      <w:pPr>
        <w:pStyle w:val="Default"/>
        <w:jc w:val="both"/>
        <w:rPr>
          <w:sz w:val="22"/>
          <w:szCs w:val="22"/>
        </w:rPr>
      </w:pPr>
    </w:p>
    <w:p w14:paraId="23F3E9BB" w14:textId="4C2DD5B6" w:rsidR="00330E3F" w:rsidRPr="001749EC" w:rsidRDefault="00636A7A" w:rsidP="001749EC">
      <w:pPr>
        <w:pStyle w:val="Default"/>
        <w:jc w:val="both"/>
        <w:rPr>
          <w:sz w:val="22"/>
          <w:szCs w:val="22"/>
        </w:rPr>
      </w:pPr>
      <w:r w:rsidRPr="001749EC">
        <w:rPr>
          <w:sz w:val="22"/>
          <w:szCs w:val="22"/>
        </w:rPr>
        <w:t xml:space="preserve">The critical impact from the proposal that raises an objection is that to the widening of the access from the A48 into the site. The </w:t>
      </w:r>
      <w:r w:rsidR="00900B83" w:rsidRPr="001749EC">
        <w:rPr>
          <w:sz w:val="22"/>
          <w:szCs w:val="22"/>
        </w:rPr>
        <w:t xml:space="preserve">current </w:t>
      </w:r>
      <w:r w:rsidR="00252063" w:rsidRPr="001749EC">
        <w:rPr>
          <w:sz w:val="22"/>
          <w:szCs w:val="22"/>
        </w:rPr>
        <w:t>wall is a significant feature in the Conservation Area</w:t>
      </w:r>
      <w:r w:rsidR="004022A9" w:rsidRPr="001749EC">
        <w:rPr>
          <w:sz w:val="22"/>
          <w:szCs w:val="22"/>
        </w:rPr>
        <w:t>. T</w:t>
      </w:r>
      <w:r w:rsidR="00252063" w:rsidRPr="001749EC">
        <w:rPr>
          <w:sz w:val="22"/>
          <w:szCs w:val="22"/>
        </w:rPr>
        <w:t>he Conservation Area Management Plan recommends that</w:t>
      </w:r>
      <w:r w:rsidR="004007B5" w:rsidRPr="001749EC">
        <w:rPr>
          <w:sz w:val="22"/>
          <w:szCs w:val="22"/>
        </w:rPr>
        <w:t>, ‘</w:t>
      </w:r>
      <w:r w:rsidR="00330E3F" w:rsidRPr="001749EC">
        <w:rPr>
          <w:i/>
          <w:iCs/>
          <w:sz w:val="22"/>
          <w:szCs w:val="22"/>
        </w:rPr>
        <w:t xml:space="preserve">The Council will seek to resist proposals to remove or significantly alter traditional boundary walls or for new boundary treatments which fail to respect the form and materials of traditional boundary treatments in the area. The </w:t>
      </w:r>
      <w:r w:rsidR="00330E3F" w:rsidRPr="001749EC">
        <w:rPr>
          <w:i/>
          <w:iCs/>
          <w:color w:val="auto"/>
          <w:sz w:val="22"/>
          <w:szCs w:val="22"/>
        </w:rPr>
        <w:t>Council will seek to secure the maintenance and repair of traditional stone walls.</w:t>
      </w:r>
      <w:r w:rsidR="004007B5" w:rsidRPr="001749EC">
        <w:rPr>
          <w:i/>
          <w:iCs/>
          <w:color w:val="auto"/>
          <w:sz w:val="22"/>
          <w:szCs w:val="22"/>
        </w:rPr>
        <w:t xml:space="preserve">’ </w:t>
      </w:r>
      <w:r w:rsidR="00252063" w:rsidRPr="001749EC">
        <w:rPr>
          <w:color w:val="auto"/>
          <w:sz w:val="22"/>
          <w:szCs w:val="22"/>
        </w:rPr>
        <w:t>In addition</w:t>
      </w:r>
      <w:r w:rsidR="004007B5" w:rsidRPr="001749EC">
        <w:rPr>
          <w:color w:val="auto"/>
          <w:sz w:val="22"/>
          <w:szCs w:val="22"/>
        </w:rPr>
        <w:t>,</w:t>
      </w:r>
      <w:r w:rsidR="00252063" w:rsidRPr="001749EC">
        <w:rPr>
          <w:color w:val="auto"/>
          <w:sz w:val="22"/>
          <w:szCs w:val="22"/>
        </w:rPr>
        <w:t xml:space="preserve"> the</w:t>
      </w:r>
      <w:r w:rsidR="004022A9" w:rsidRPr="001749EC">
        <w:rPr>
          <w:color w:val="auto"/>
          <w:sz w:val="22"/>
          <w:szCs w:val="22"/>
        </w:rPr>
        <w:t xml:space="preserve"> inspector of a</w:t>
      </w:r>
      <w:r w:rsidR="00252063" w:rsidRPr="001749EC">
        <w:rPr>
          <w:color w:val="auto"/>
          <w:sz w:val="22"/>
          <w:szCs w:val="22"/>
        </w:rPr>
        <w:t xml:space="preserve"> previous appeal </w:t>
      </w:r>
      <w:r w:rsidR="004022A9" w:rsidRPr="001749EC">
        <w:rPr>
          <w:color w:val="auto"/>
          <w:sz w:val="22"/>
          <w:szCs w:val="22"/>
        </w:rPr>
        <w:t xml:space="preserve">for residential development of the site </w:t>
      </w:r>
      <w:r w:rsidR="00252063" w:rsidRPr="001749EC">
        <w:rPr>
          <w:color w:val="auto"/>
          <w:sz w:val="22"/>
          <w:szCs w:val="22"/>
        </w:rPr>
        <w:t xml:space="preserve">which </w:t>
      </w:r>
      <w:r w:rsidR="004007B5" w:rsidRPr="001749EC">
        <w:rPr>
          <w:color w:val="auto"/>
          <w:sz w:val="22"/>
          <w:szCs w:val="22"/>
        </w:rPr>
        <w:t xml:space="preserve">also </w:t>
      </w:r>
      <w:r w:rsidR="004022A9" w:rsidRPr="001749EC">
        <w:rPr>
          <w:color w:val="auto"/>
          <w:sz w:val="22"/>
          <w:szCs w:val="22"/>
        </w:rPr>
        <w:t>propose</w:t>
      </w:r>
      <w:r w:rsidR="00252063" w:rsidRPr="001749EC">
        <w:rPr>
          <w:color w:val="auto"/>
          <w:sz w:val="22"/>
          <w:szCs w:val="22"/>
        </w:rPr>
        <w:t xml:space="preserve">d the widening of the access and the loss of the section of wall </w:t>
      </w:r>
      <w:r w:rsidR="004022A9" w:rsidRPr="001749EC">
        <w:rPr>
          <w:color w:val="auto"/>
          <w:sz w:val="22"/>
          <w:szCs w:val="22"/>
        </w:rPr>
        <w:t>not</w:t>
      </w:r>
      <w:r w:rsidR="00252063" w:rsidRPr="001749EC">
        <w:rPr>
          <w:color w:val="auto"/>
          <w:sz w:val="22"/>
          <w:szCs w:val="22"/>
        </w:rPr>
        <w:t>ed tha</w:t>
      </w:r>
      <w:r w:rsidR="004007B5" w:rsidRPr="001749EC">
        <w:rPr>
          <w:color w:val="auto"/>
          <w:sz w:val="22"/>
          <w:szCs w:val="22"/>
        </w:rPr>
        <w:t>t ‘</w:t>
      </w:r>
      <w:r w:rsidR="004007B5" w:rsidRPr="001749EC">
        <w:rPr>
          <w:sz w:val="22"/>
          <w:szCs w:val="22"/>
        </w:rPr>
        <w:t>the loss of a section of the wall would have the effect of altering the solid to void ratio, creating a notably larger gap and undermining the robust and imposing appearance of the wall as it currently reads. As the width of the opening has some effect on the wall’s contribution to the character and appearance of the CA, it follows that its alteration in the manner proposed would have a limited harm</w:t>
      </w:r>
      <w:r w:rsidR="004022A9" w:rsidRPr="001749EC">
        <w:rPr>
          <w:sz w:val="22"/>
          <w:szCs w:val="22"/>
        </w:rPr>
        <w:t>’</w:t>
      </w:r>
      <w:r w:rsidR="004007B5" w:rsidRPr="001749EC">
        <w:rPr>
          <w:sz w:val="22"/>
          <w:szCs w:val="22"/>
        </w:rPr>
        <w:t xml:space="preserve">. </w:t>
      </w:r>
      <w:r w:rsidR="002E374F" w:rsidRPr="001749EC">
        <w:rPr>
          <w:sz w:val="22"/>
          <w:szCs w:val="22"/>
        </w:rPr>
        <w:t xml:space="preserve">This level of harm is </w:t>
      </w:r>
      <w:r w:rsidR="00252063" w:rsidRPr="001749EC">
        <w:rPr>
          <w:color w:val="auto"/>
          <w:sz w:val="22"/>
          <w:szCs w:val="22"/>
        </w:rPr>
        <w:t>consi</w:t>
      </w:r>
      <w:r w:rsidR="004022A9" w:rsidRPr="001749EC">
        <w:rPr>
          <w:color w:val="auto"/>
          <w:sz w:val="22"/>
          <w:szCs w:val="22"/>
        </w:rPr>
        <w:t>d</w:t>
      </w:r>
      <w:r w:rsidR="00252063" w:rsidRPr="001749EC">
        <w:rPr>
          <w:color w:val="auto"/>
          <w:sz w:val="22"/>
          <w:szCs w:val="22"/>
        </w:rPr>
        <w:t>ered t</w:t>
      </w:r>
      <w:r w:rsidR="002E374F" w:rsidRPr="001749EC">
        <w:rPr>
          <w:color w:val="auto"/>
          <w:sz w:val="22"/>
          <w:szCs w:val="22"/>
        </w:rPr>
        <w:t>o be retained by this proposal.</w:t>
      </w:r>
    </w:p>
    <w:p w14:paraId="3A7A7D2C" w14:textId="77777777" w:rsidR="00330E3F" w:rsidRPr="001749EC" w:rsidRDefault="00330E3F" w:rsidP="001749EC">
      <w:pPr>
        <w:pStyle w:val="Default"/>
        <w:jc w:val="both"/>
        <w:rPr>
          <w:color w:val="auto"/>
          <w:sz w:val="22"/>
          <w:szCs w:val="22"/>
        </w:rPr>
      </w:pPr>
    </w:p>
    <w:p w14:paraId="091EEAC1" w14:textId="63737750" w:rsidR="00330E3F" w:rsidRPr="001749EC" w:rsidRDefault="00252063" w:rsidP="001749EC">
      <w:pPr>
        <w:pStyle w:val="Default"/>
        <w:jc w:val="both"/>
        <w:rPr>
          <w:color w:val="auto"/>
          <w:sz w:val="22"/>
          <w:szCs w:val="22"/>
        </w:rPr>
      </w:pPr>
      <w:r w:rsidRPr="001749EC">
        <w:rPr>
          <w:color w:val="auto"/>
          <w:sz w:val="22"/>
          <w:szCs w:val="22"/>
        </w:rPr>
        <w:t xml:space="preserve">As well as the proposed widening of the access route the plans </w:t>
      </w:r>
      <w:r w:rsidR="00900B83" w:rsidRPr="001749EC">
        <w:rPr>
          <w:color w:val="auto"/>
          <w:sz w:val="22"/>
          <w:szCs w:val="22"/>
        </w:rPr>
        <w:t xml:space="preserve">also </w:t>
      </w:r>
      <w:r w:rsidRPr="001749EC">
        <w:rPr>
          <w:color w:val="auto"/>
          <w:sz w:val="22"/>
          <w:szCs w:val="22"/>
        </w:rPr>
        <w:t>show a proposed widening of the</w:t>
      </w:r>
      <w:r w:rsidR="00900B83" w:rsidRPr="001749EC">
        <w:rPr>
          <w:color w:val="auto"/>
          <w:sz w:val="22"/>
          <w:szCs w:val="22"/>
        </w:rPr>
        <w:t xml:space="preserve"> existing pavement to the south of the application site</w:t>
      </w:r>
      <w:r w:rsidRPr="001749EC">
        <w:rPr>
          <w:color w:val="auto"/>
          <w:sz w:val="22"/>
          <w:szCs w:val="22"/>
        </w:rPr>
        <w:t xml:space="preserve">. The plans suggest this will be achieved by taking </w:t>
      </w:r>
      <w:r w:rsidR="00900B83" w:rsidRPr="001749EC">
        <w:rPr>
          <w:color w:val="auto"/>
          <w:sz w:val="22"/>
          <w:szCs w:val="22"/>
        </w:rPr>
        <w:t xml:space="preserve">space from </w:t>
      </w:r>
      <w:r w:rsidRPr="001749EC">
        <w:rPr>
          <w:color w:val="auto"/>
          <w:sz w:val="22"/>
          <w:szCs w:val="22"/>
        </w:rPr>
        <w:t>the highway and not moving the wall, however clarity on this matter is therefore sought to ensure the</w:t>
      </w:r>
      <w:r w:rsidR="00900B83" w:rsidRPr="001749EC">
        <w:rPr>
          <w:color w:val="auto"/>
          <w:sz w:val="22"/>
          <w:szCs w:val="22"/>
        </w:rPr>
        <w:t xml:space="preserve"> details are understood and the</w:t>
      </w:r>
      <w:r w:rsidRPr="001749EC">
        <w:rPr>
          <w:color w:val="auto"/>
          <w:sz w:val="22"/>
          <w:szCs w:val="22"/>
        </w:rPr>
        <w:t xml:space="preserve"> full impact assessed. </w:t>
      </w:r>
    </w:p>
    <w:p w14:paraId="12655053" w14:textId="77777777" w:rsidR="00252063" w:rsidRPr="001749EC" w:rsidRDefault="00252063" w:rsidP="001749EC">
      <w:pPr>
        <w:pStyle w:val="Default"/>
        <w:jc w:val="both"/>
        <w:rPr>
          <w:b/>
          <w:bCs/>
          <w:color w:val="auto"/>
          <w:sz w:val="22"/>
          <w:szCs w:val="22"/>
        </w:rPr>
      </w:pPr>
    </w:p>
    <w:p w14:paraId="33D90476" w14:textId="77777777" w:rsidR="00330E3F" w:rsidRPr="001749EC" w:rsidRDefault="00330E3F" w:rsidP="001749EC">
      <w:pPr>
        <w:jc w:val="both"/>
        <w:rPr>
          <w:rFonts w:ascii="Arial" w:hAnsi="Arial" w:cs="Arial"/>
          <w:b/>
          <w:bCs/>
          <w:u w:val="single"/>
        </w:rPr>
      </w:pPr>
      <w:r w:rsidRPr="001749EC">
        <w:rPr>
          <w:rFonts w:ascii="Arial" w:hAnsi="Arial" w:cs="Arial"/>
          <w:b/>
          <w:bCs/>
          <w:u w:val="single"/>
        </w:rPr>
        <w:t xml:space="preserve">Final recommendation </w:t>
      </w:r>
    </w:p>
    <w:p w14:paraId="6A55C40B" w14:textId="77777777" w:rsidR="00B91819" w:rsidRPr="001749EC" w:rsidRDefault="00B91819" w:rsidP="001749EC">
      <w:pPr>
        <w:pStyle w:val="Default"/>
        <w:jc w:val="both"/>
        <w:rPr>
          <w:sz w:val="22"/>
          <w:szCs w:val="22"/>
        </w:rPr>
      </w:pPr>
      <w:r w:rsidRPr="001749EC">
        <w:rPr>
          <w:sz w:val="22"/>
          <w:szCs w:val="22"/>
        </w:rPr>
        <w:t xml:space="preserve">Overall it is considered that the proposal will result in harm being caused to the character and appearance of the conservation area and an objection is raised on that basis. </w:t>
      </w:r>
    </w:p>
    <w:p w14:paraId="278CE8B4" w14:textId="77777777" w:rsidR="00330E3F" w:rsidRPr="001749EC" w:rsidRDefault="00330E3F" w:rsidP="001749EC">
      <w:pPr>
        <w:jc w:val="both"/>
        <w:rPr>
          <w:rFonts w:ascii="Arial" w:hAnsi="Arial" w:cs="Arial"/>
          <w:b/>
          <w:bCs/>
        </w:rPr>
      </w:pPr>
    </w:p>
    <w:p w14:paraId="63C7FFF4" w14:textId="77777777" w:rsidR="00330E3F" w:rsidRPr="001749EC" w:rsidRDefault="00330E3F" w:rsidP="001749EC">
      <w:pPr>
        <w:jc w:val="both"/>
        <w:rPr>
          <w:rFonts w:ascii="Arial" w:hAnsi="Arial" w:cs="Arial"/>
          <w:b/>
          <w:bCs/>
          <w:u w:val="single"/>
        </w:rPr>
      </w:pPr>
      <w:r w:rsidRPr="001749EC">
        <w:rPr>
          <w:rFonts w:ascii="Arial" w:hAnsi="Arial" w:cs="Arial"/>
          <w:b/>
          <w:bCs/>
          <w:u w:val="single"/>
        </w:rPr>
        <w:t>Condition(s)</w:t>
      </w:r>
    </w:p>
    <w:p w14:paraId="15F2ED00" w14:textId="4DCDD86B" w:rsidR="00330E3F" w:rsidRPr="001749EC" w:rsidRDefault="001749EC" w:rsidP="001749EC">
      <w:pPr>
        <w:jc w:val="both"/>
        <w:rPr>
          <w:rFonts w:ascii="Arial" w:hAnsi="Arial" w:cs="Arial"/>
        </w:rPr>
      </w:pPr>
      <w:r>
        <w:rPr>
          <w:rFonts w:ascii="Arial" w:hAnsi="Arial" w:cs="Arial"/>
        </w:rPr>
        <w:t xml:space="preserve">Sample of materials. </w:t>
      </w:r>
    </w:p>
    <w:p w14:paraId="6E617AAF" w14:textId="77777777" w:rsidR="00900B83" w:rsidRPr="001749EC" w:rsidRDefault="00900B83" w:rsidP="001749EC">
      <w:pPr>
        <w:jc w:val="both"/>
        <w:rPr>
          <w:rFonts w:ascii="Arial" w:hAnsi="Arial" w:cs="Arial"/>
        </w:rPr>
      </w:pPr>
    </w:p>
    <w:p w14:paraId="3D4F5CAF" w14:textId="77777777" w:rsidR="00330E3F" w:rsidRPr="001749EC" w:rsidRDefault="00330E3F" w:rsidP="001749EC">
      <w:pPr>
        <w:jc w:val="both"/>
        <w:rPr>
          <w:rFonts w:ascii="Arial" w:hAnsi="Arial" w:cs="Arial"/>
          <w:b/>
          <w:bCs/>
          <w:u w:val="single"/>
        </w:rPr>
      </w:pPr>
      <w:r w:rsidRPr="001749EC">
        <w:rPr>
          <w:rFonts w:ascii="Arial" w:hAnsi="Arial" w:cs="Arial"/>
          <w:b/>
          <w:bCs/>
          <w:u w:val="single"/>
        </w:rPr>
        <w:t>Policy/Legislation Overview</w:t>
      </w:r>
    </w:p>
    <w:p w14:paraId="28A368C9" w14:textId="77777777" w:rsidR="00330E3F" w:rsidRPr="001749EC" w:rsidRDefault="00330E3F" w:rsidP="001749EC">
      <w:pPr>
        <w:jc w:val="both"/>
        <w:rPr>
          <w:rFonts w:ascii="Arial" w:hAnsi="Arial" w:cs="Arial"/>
          <w:b/>
          <w:bCs/>
        </w:rPr>
      </w:pPr>
    </w:p>
    <w:p w14:paraId="1FF7BE3D" w14:textId="77777777" w:rsidR="00330E3F" w:rsidRPr="001749EC" w:rsidRDefault="00330E3F" w:rsidP="001749EC">
      <w:pPr>
        <w:jc w:val="both"/>
        <w:rPr>
          <w:rFonts w:ascii="Arial" w:hAnsi="Arial" w:cs="Arial"/>
          <w:b/>
          <w:bCs/>
        </w:rPr>
      </w:pPr>
      <w:r w:rsidRPr="001749EC">
        <w:rPr>
          <w:rFonts w:ascii="Arial" w:hAnsi="Arial" w:cs="Arial"/>
          <w:b/>
          <w:bCs/>
        </w:rPr>
        <w:t>Planning (Listed Buildings and Conservation Areas) Act 1990</w:t>
      </w:r>
    </w:p>
    <w:p w14:paraId="7E49EE1E" w14:textId="77777777" w:rsidR="00330E3F" w:rsidRPr="001749EC" w:rsidRDefault="00330E3F" w:rsidP="001749EC">
      <w:pPr>
        <w:jc w:val="both"/>
        <w:rPr>
          <w:rFonts w:ascii="Arial" w:hAnsi="Arial" w:cs="Arial"/>
          <w:b/>
          <w:bCs/>
        </w:rPr>
      </w:pPr>
    </w:p>
    <w:p w14:paraId="7540EB6F" w14:textId="77777777" w:rsidR="00330E3F" w:rsidRPr="001749EC" w:rsidRDefault="00330E3F" w:rsidP="001749EC">
      <w:pPr>
        <w:jc w:val="both"/>
        <w:rPr>
          <w:rFonts w:ascii="Arial" w:hAnsi="Arial" w:cs="Arial"/>
        </w:rPr>
      </w:pPr>
      <w:r w:rsidRPr="001749EC">
        <w:rPr>
          <w:rFonts w:ascii="Arial" w:hAnsi="Arial" w:cs="Arial"/>
        </w:rPr>
        <w:t>s. 66 In considering whether to grant planning permission for development which affects a listed building or its setting, the local planning authority or, as the case may be, the Secretary of State shall have special regard to the desirability of preserving the building or its setting or any features of special architectural or historic interest which it possesses.</w:t>
      </w:r>
    </w:p>
    <w:p w14:paraId="5694E8F3" w14:textId="77777777" w:rsidR="00330E3F" w:rsidRPr="001749EC" w:rsidRDefault="00330E3F" w:rsidP="001749EC">
      <w:pPr>
        <w:jc w:val="both"/>
        <w:rPr>
          <w:rFonts w:ascii="Arial" w:hAnsi="Arial" w:cs="Arial"/>
        </w:rPr>
      </w:pPr>
    </w:p>
    <w:p w14:paraId="29B99436" w14:textId="77777777" w:rsidR="00330E3F" w:rsidRPr="001749EC" w:rsidRDefault="00330E3F" w:rsidP="001749EC">
      <w:pPr>
        <w:jc w:val="both"/>
        <w:rPr>
          <w:rFonts w:ascii="Arial" w:hAnsi="Arial" w:cs="Arial"/>
        </w:rPr>
      </w:pPr>
      <w:r w:rsidRPr="001749EC">
        <w:rPr>
          <w:rFonts w:ascii="Arial" w:hAnsi="Arial" w:cs="Arial"/>
        </w:rPr>
        <w:t>s.72 In the exercise, with respect to any buildings or other land in a conservation area, any of the provisions mentioned in subsection (2), special attention shall be paid to the desirability of preserving or enhancing the character or appearance of that area.</w:t>
      </w:r>
    </w:p>
    <w:p w14:paraId="4F779E9A" w14:textId="77777777" w:rsidR="00330E3F" w:rsidRPr="001749EC" w:rsidRDefault="00330E3F" w:rsidP="001749EC">
      <w:pPr>
        <w:jc w:val="both"/>
        <w:rPr>
          <w:rFonts w:ascii="Arial" w:hAnsi="Arial" w:cs="Arial"/>
        </w:rPr>
      </w:pPr>
    </w:p>
    <w:p w14:paraId="3B0C629F" w14:textId="77777777" w:rsidR="00330E3F" w:rsidRPr="001749EC" w:rsidRDefault="00330E3F" w:rsidP="001749EC">
      <w:pPr>
        <w:jc w:val="both"/>
        <w:rPr>
          <w:rFonts w:ascii="Arial" w:hAnsi="Arial" w:cs="Arial"/>
          <w:b/>
          <w:bCs/>
        </w:rPr>
      </w:pPr>
      <w:r w:rsidRPr="001749EC">
        <w:rPr>
          <w:rFonts w:ascii="Arial" w:hAnsi="Arial" w:cs="Arial"/>
          <w:b/>
          <w:bCs/>
        </w:rPr>
        <w:t>Planning Policy Wales 12</w:t>
      </w:r>
    </w:p>
    <w:p w14:paraId="65303E15" w14:textId="77777777" w:rsidR="00330E3F" w:rsidRPr="001749EC" w:rsidRDefault="00330E3F" w:rsidP="001749EC">
      <w:pPr>
        <w:jc w:val="both"/>
        <w:rPr>
          <w:rFonts w:ascii="Arial" w:hAnsi="Arial" w:cs="Arial"/>
          <w:b/>
          <w:bCs/>
        </w:rPr>
      </w:pPr>
    </w:p>
    <w:p w14:paraId="06CAA10C" w14:textId="77777777" w:rsidR="00330E3F" w:rsidRPr="001749EC" w:rsidRDefault="00330E3F" w:rsidP="001749EC">
      <w:pPr>
        <w:jc w:val="both"/>
        <w:rPr>
          <w:rFonts w:ascii="Arial" w:hAnsi="Arial" w:cs="Arial"/>
        </w:rPr>
      </w:pPr>
      <w:r w:rsidRPr="001749EC">
        <w:rPr>
          <w:rFonts w:ascii="Arial" w:hAnsi="Arial" w:cs="Arial"/>
        </w:rPr>
        <w:t xml:space="preserve">6.1.6 Safeguard the character of historic buildings and manage change so that their special architectural and historic interest is preserved. </w:t>
      </w:r>
    </w:p>
    <w:p w14:paraId="2690EEAD" w14:textId="77777777" w:rsidR="00330E3F" w:rsidRPr="001749EC" w:rsidRDefault="00330E3F" w:rsidP="001749EC">
      <w:pPr>
        <w:jc w:val="both"/>
        <w:rPr>
          <w:rFonts w:ascii="Arial" w:hAnsi="Arial" w:cs="Arial"/>
        </w:rPr>
      </w:pPr>
    </w:p>
    <w:p w14:paraId="212127DC" w14:textId="77777777" w:rsidR="00330E3F" w:rsidRPr="001749EC" w:rsidRDefault="00330E3F" w:rsidP="001749EC">
      <w:pPr>
        <w:jc w:val="both"/>
        <w:rPr>
          <w:rFonts w:ascii="Arial" w:hAnsi="Arial" w:cs="Arial"/>
        </w:rPr>
      </w:pPr>
      <w:r w:rsidRPr="001749EC">
        <w:rPr>
          <w:rFonts w:ascii="Arial" w:hAnsi="Arial" w:cs="Arial"/>
        </w:rPr>
        <w:t>6.1.10 There should be a general presumption in favour of the preservation or enhancement of a listed building and its setting, which might extend beyond its curtilage. For any development proposal affecting a listed building or its setting, the primary material consideration is the statutory requirement to have special regard to the desirability of preserving the building, its setting or any features of special architectural or historic interest which it possesses.</w:t>
      </w:r>
    </w:p>
    <w:p w14:paraId="1002E191" w14:textId="77777777" w:rsidR="00330E3F" w:rsidRPr="001749EC" w:rsidRDefault="00330E3F" w:rsidP="001749EC">
      <w:pPr>
        <w:jc w:val="both"/>
        <w:rPr>
          <w:rFonts w:ascii="Arial" w:hAnsi="Arial" w:cs="Arial"/>
        </w:rPr>
      </w:pPr>
    </w:p>
    <w:p w14:paraId="59942575" w14:textId="77777777" w:rsidR="00330E3F" w:rsidRPr="001749EC" w:rsidRDefault="00330E3F" w:rsidP="001749EC">
      <w:pPr>
        <w:jc w:val="both"/>
        <w:rPr>
          <w:rFonts w:ascii="Arial" w:hAnsi="Arial" w:cs="Arial"/>
        </w:rPr>
      </w:pPr>
      <w:r w:rsidRPr="001749EC">
        <w:rPr>
          <w:rFonts w:ascii="Arial" w:hAnsi="Arial" w:cs="Arial"/>
        </w:rPr>
        <w:t>6.1.16 Preservation or enhancement of a conservation area can be achieved by a development which either makes a positive contribution to an area's character or appearance or leaves them unharmed.</w:t>
      </w:r>
    </w:p>
    <w:p w14:paraId="236DD2AC" w14:textId="77777777" w:rsidR="00330E3F" w:rsidRPr="001749EC" w:rsidRDefault="00330E3F" w:rsidP="001749EC">
      <w:pPr>
        <w:jc w:val="both"/>
        <w:rPr>
          <w:rFonts w:ascii="Arial" w:hAnsi="Arial" w:cs="Arial"/>
        </w:rPr>
      </w:pPr>
    </w:p>
    <w:p w14:paraId="4737C9CE" w14:textId="77777777" w:rsidR="00330E3F" w:rsidRPr="001749EC" w:rsidRDefault="00330E3F" w:rsidP="001749EC">
      <w:pPr>
        <w:jc w:val="both"/>
        <w:rPr>
          <w:rFonts w:ascii="Arial" w:hAnsi="Arial" w:cs="Arial"/>
          <w:b/>
          <w:bCs/>
        </w:rPr>
      </w:pPr>
      <w:r w:rsidRPr="001749EC">
        <w:rPr>
          <w:rFonts w:ascii="Arial" w:hAnsi="Arial" w:cs="Arial"/>
          <w:b/>
          <w:bCs/>
        </w:rPr>
        <w:t xml:space="preserve">Technical Advice Note TAN 24 </w:t>
      </w:r>
    </w:p>
    <w:p w14:paraId="4245BBF4" w14:textId="77777777" w:rsidR="00330E3F" w:rsidRPr="001749EC" w:rsidRDefault="00330E3F" w:rsidP="001749EC">
      <w:pPr>
        <w:jc w:val="both"/>
        <w:rPr>
          <w:rFonts w:ascii="Arial" w:hAnsi="Arial" w:cs="Arial"/>
          <w:b/>
          <w:bCs/>
          <w:i/>
          <w:iCs/>
        </w:rPr>
      </w:pPr>
    </w:p>
    <w:p w14:paraId="08484A7F" w14:textId="77777777" w:rsidR="00330E3F" w:rsidRPr="001749EC" w:rsidRDefault="00330E3F" w:rsidP="001749EC">
      <w:pPr>
        <w:jc w:val="both"/>
        <w:rPr>
          <w:rFonts w:ascii="Arial" w:hAnsi="Arial" w:cs="Arial"/>
        </w:rPr>
      </w:pPr>
      <w:r w:rsidRPr="001749EC">
        <w:rPr>
          <w:rFonts w:ascii="Arial" w:hAnsi="Arial" w:cs="Arial"/>
        </w:rPr>
        <w:t>Provides ‘guidance on how the planning system considers the historic environment during development plan preparation and decision making on planning applications’. Reference is also made to the following Managing Change Documents supporting TAN 24;</w:t>
      </w:r>
    </w:p>
    <w:p w14:paraId="585EAF38" w14:textId="77777777" w:rsidR="00330E3F" w:rsidRPr="001749EC" w:rsidRDefault="00330E3F" w:rsidP="001749EC">
      <w:pPr>
        <w:jc w:val="both"/>
        <w:rPr>
          <w:rFonts w:ascii="Arial" w:hAnsi="Arial" w:cs="Arial"/>
          <w:lang w:eastAsia="en-GB"/>
        </w:rPr>
      </w:pPr>
    </w:p>
    <w:p w14:paraId="4374E351" w14:textId="77777777" w:rsidR="00330E3F" w:rsidRPr="001749EC" w:rsidRDefault="00330E3F" w:rsidP="001749EC">
      <w:pPr>
        <w:numPr>
          <w:ilvl w:val="0"/>
          <w:numId w:val="1"/>
        </w:numPr>
        <w:jc w:val="both"/>
        <w:rPr>
          <w:rFonts w:ascii="Arial" w:hAnsi="Arial" w:cs="Arial"/>
        </w:rPr>
      </w:pPr>
      <w:r w:rsidRPr="001749EC">
        <w:rPr>
          <w:rFonts w:ascii="Arial" w:hAnsi="Arial" w:cs="Arial"/>
        </w:rPr>
        <w:t>Managing Change to Listed Buildings</w:t>
      </w:r>
    </w:p>
    <w:p w14:paraId="76416A72" w14:textId="77777777" w:rsidR="00330E3F" w:rsidRPr="001749EC" w:rsidRDefault="00330E3F" w:rsidP="001749EC">
      <w:pPr>
        <w:numPr>
          <w:ilvl w:val="0"/>
          <w:numId w:val="1"/>
        </w:numPr>
        <w:jc w:val="both"/>
        <w:rPr>
          <w:rFonts w:ascii="Arial" w:hAnsi="Arial" w:cs="Arial"/>
        </w:rPr>
      </w:pPr>
      <w:r w:rsidRPr="001749EC">
        <w:rPr>
          <w:rFonts w:ascii="Arial" w:hAnsi="Arial" w:cs="Arial"/>
        </w:rPr>
        <w:t xml:space="preserve">Managing Conservation Areas </w:t>
      </w:r>
    </w:p>
    <w:p w14:paraId="469D9751" w14:textId="77777777" w:rsidR="00330E3F" w:rsidRPr="001749EC" w:rsidRDefault="00330E3F" w:rsidP="001749EC">
      <w:pPr>
        <w:numPr>
          <w:ilvl w:val="0"/>
          <w:numId w:val="1"/>
        </w:numPr>
        <w:jc w:val="both"/>
        <w:rPr>
          <w:rFonts w:ascii="Arial" w:hAnsi="Arial" w:cs="Arial"/>
        </w:rPr>
      </w:pPr>
      <w:r w:rsidRPr="001749EC">
        <w:rPr>
          <w:rFonts w:ascii="Arial" w:hAnsi="Arial" w:cs="Arial"/>
        </w:rPr>
        <w:t>Managing Historic Character</w:t>
      </w:r>
    </w:p>
    <w:p w14:paraId="26C2DAAA" w14:textId="77777777" w:rsidR="00330E3F" w:rsidRPr="001749EC" w:rsidRDefault="00330E3F" w:rsidP="001749EC">
      <w:pPr>
        <w:numPr>
          <w:ilvl w:val="0"/>
          <w:numId w:val="1"/>
        </w:numPr>
        <w:jc w:val="both"/>
        <w:rPr>
          <w:rFonts w:ascii="Arial" w:hAnsi="Arial" w:cs="Arial"/>
        </w:rPr>
      </w:pPr>
      <w:r w:rsidRPr="001749EC">
        <w:rPr>
          <w:rFonts w:ascii="Arial" w:hAnsi="Arial" w:cs="Arial"/>
        </w:rPr>
        <w:t>Managing Setting of Historic Assets</w:t>
      </w:r>
    </w:p>
    <w:p w14:paraId="1C4B763D" w14:textId="77777777" w:rsidR="00330E3F" w:rsidRPr="001749EC" w:rsidRDefault="00330E3F" w:rsidP="001749EC">
      <w:pPr>
        <w:numPr>
          <w:ilvl w:val="0"/>
          <w:numId w:val="1"/>
        </w:numPr>
        <w:jc w:val="both"/>
        <w:rPr>
          <w:rFonts w:ascii="Arial" w:hAnsi="Arial" w:cs="Arial"/>
        </w:rPr>
      </w:pPr>
      <w:r w:rsidRPr="001749EC">
        <w:rPr>
          <w:rFonts w:ascii="Arial" w:hAnsi="Arial" w:cs="Arial"/>
        </w:rPr>
        <w:t xml:space="preserve">Managing Registered Historic Parks and Gardens </w:t>
      </w:r>
    </w:p>
    <w:p w14:paraId="1603CAC5" w14:textId="77777777" w:rsidR="00330E3F" w:rsidRPr="001749EC" w:rsidRDefault="00330E3F" w:rsidP="001749EC">
      <w:pPr>
        <w:numPr>
          <w:ilvl w:val="0"/>
          <w:numId w:val="1"/>
        </w:numPr>
        <w:jc w:val="both"/>
        <w:rPr>
          <w:rFonts w:ascii="Arial" w:hAnsi="Arial" w:cs="Arial"/>
        </w:rPr>
      </w:pPr>
      <w:r w:rsidRPr="001749EC">
        <w:rPr>
          <w:rFonts w:ascii="Arial" w:hAnsi="Arial" w:cs="Arial"/>
        </w:rPr>
        <w:t>Managing Listed Buildings at Risk</w:t>
      </w:r>
    </w:p>
    <w:p w14:paraId="2A869B6B" w14:textId="77777777" w:rsidR="00330E3F" w:rsidRPr="001749EC" w:rsidRDefault="00330E3F" w:rsidP="001749EC">
      <w:pPr>
        <w:jc w:val="both"/>
        <w:rPr>
          <w:rFonts w:ascii="Arial" w:hAnsi="Arial" w:cs="Arial"/>
        </w:rPr>
      </w:pPr>
    </w:p>
    <w:p w14:paraId="09052606" w14:textId="77777777" w:rsidR="00330E3F" w:rsidRPr="001749EC" w:rsidRDefault="00330E3F" w:rsidP="001749EC">
      <w:pPr>
        <w:jc w:val="both"/>
        <w:rPr>
          <w:rFonts w:ascii="Arial" w:hAnsi="Arial" w:cs="Arial"/>
          <w:b/>
          <w:bCs/>
        </w:rPr>
      </w:pPr>
      <w:r w:rsidRPr="001749EC">
        <w:rPr>
          <w:rFonts w:ascii="Arial" w:hAnsi="Arial" w:cs="Arial"/>
          <w:b/>
          <w:bCs/>
        </w:rPr>
        <w:t xml:space="preserve">Local Development Plan </w:t>
      </w:r>
    </w:p>
    <w:p w14:paraId="259078F7" w14:textId="77777777" w:rsidR="00330E3F" w:rsidRPr="001749EC" w:rsidRDefault="00330E3F" w:rsidP="001749EC">
      <w:pPr>
        <w:jc w:val="both"/>
        <w:rPr>
          <w:rFonts w:ascii="Arial" w:hAnsi="Arial" w:cs="Arial"/>
        </w:rPr>
      </w:pPr>
    </w:p>
    <w:p w14:paraId="327D6BD4" w14:textId="77777777" w:rsidR="00330E3F" w:rsidRPr="001749EC" w:rsidRDefault="00330E3F" w:rsidP="001749EC">
      <w:pPr>
        <w:jc w:val="both"/>
        <w:rPr>
          <w:rFonts w:ascii="Arial" w:hAnsi="Arial" w:cs="Arial"/>
          <w:b/>
          <w:bCs/>
        </w:rPr>
      </w:pPr>
      <w:r w:rsidRPr="001749EC">
        <w:rPr>
          <w:rFonts w:ascii="Arial" w:hAnsi="Arial" w:cs="Arial"/>
        </w:rPr>
        <w:t>The Vale of Glamorgan LDP policies reflect the national policy for the strict control of development affecting conservation areas. Policy SP10 (Built and Natural Environment) and Policy MD8 (Historic Environment) set out the preserve or enhance the character or appearance of the Vale of Glamorgan’s Conservation Areas.</w:t>
      </w:r>
    </w:p>
    <w:p w14:paraId="2522E659" w14:textId="77777777" w:rsidR="00B94603" w:rsidRPr="001749EC" w:rsidRDefault="00B94603" w:rsidP="001749EC">
      <w:pPr>
        <w:jc w:val="both"/>
        <w:rPr>
          <w:rFonts w:ascii="Arial" w:hAnsi="Arial" w:cs="Arial"/>
        </w:rPr>
      </w:pPr>
    </w:p>
    <w:sectPr w:rsidR="00B94603" w:rsidRPr="001749EC" w:rsidSect="00330E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C3DB" w14:textId="77777777" w:rsidR="00292C6B" w:rsidRDefault="00292C6B">
      <w:r>
        <w:separator/>
      </w:r>
    </w:p>
  </w:endnote>
  <w:endnote w:type="continuationSeparator" w:id="0">
    <w:p w14:paraId="64A7E342" w14:textId="77777777" w:rsidR="00292C6B" w:rsidRDefault="0029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25501"/>
      <w:docPartObj>
        <w:docPartGallery w:val="Page Numbers (Bottom of Page)"/>
        <w:docPartUnique/>
      </w:docPartObj>
    </w:sdtPr>
    <w:sdtEndPr>
      <w:rPr>
        <w:noProof/>
      </w:rPr>
    </w:sdtEndPr>
    <w:sdtContent>
      <w:p w14:paraId="690FDD17" w14:textId="77777777" w:rsidR="009E0390" w:rsidRDefault="009E03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1AAED" w14:textId="77777777" w:rsidR="009E0390" w:rsidRDefault="009E0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9B92" w14:textId="77777777" w:rsidR="00292C6B" w:rsidRDefault="00292C6B">
      <w:r>
        <w:separator/>
      </w:r>
    </w:p>
  </w:footnote>
  <w:footnote w:type="continuationSeparator" w:id="0">
    <w:p w14:paraId="597D188D" w14:textId="77777777" w:rsidR="00292C6B" w:rsidRDefault="00292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575F"/>
    <w:multiLevelType w:val="hybridMultilevel"/>
    <w:tmpl w:val="342015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8C02D09"/>
    <w:multiLevelType w:val="hybridMultilevel"/>
    <w:tmpl w:val="BAAC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886210">
    <w:abstractNumId w:val="0"/>
  </w:num>
  <w:num w:numId="2" w16cid:durableId="511645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3F"/>
    <w:rsid w:val="00102E8E"/>
    <w:rsid w:val="001379AC"/>
    <w:rsid w:val="00141659"/>
    <w:rsid w:val="001749EC"/>
    <w:rsid w:val="00252063"/>
    <w:rsid w:val="00266F37"/>
    <w:rsid w:val="00292C6B"/>
    <w:rsid w:val="002E374F"/>
    <w:rsid w:val="00330E3F"/>
    <w:rsid w:val="004007B5"/>
    <w:rsid w:val="004022A9"/>
    <w:rsid w:val="00406D46"/>
    <w:rsid w:val="00447C57"/>
    <w:rsid w:val="004E139B"/>
    <w:rsid w:val="004E47AE"/>
    <w:rsid w:val="00636A7A"/>
    <w:rsid w:val="00665BD3"/>
    <w:rsid w:val="00900B83"/>
    <w:rsid w:val="00952802"/>
    <w:rsid w:val="009A68CA"/>
    <w:rsid w:val="009E0390"/>
    <w:rsid w:val="00AF0C07"/>
    <w:rsid w:val="00B91819"/>
    <w:rsid w:val="00B94603"/>
    <w:rsid w:val="00C33219"/>
    <w:rsid w:val="00D84DF9"/>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EAC"/>
  <w15:chartTrackingRefBased/>
  <w15:docId w15:val="{64620F12-7433-4FF6-84D0-21813C73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3F"/>
    <w:pPr>
      <w:spacing w:after="0" w:line="240" w:lineRule="auto"/>
    </w:pPr>
    <w:rPr>
      <w:kern w:val="0"/>
    </w:rPr>
  </w:style>
  <w:style w:type="paragraph" w:styleId="Heading1">
    <w:name w:val="heading 1"/>
    <w:basedOn w:val="Normal"/>
    <w:next w:val="Normal"/>
    <w:link w:val="Heading1Char"/>
    <w:autoRedefine/>
    <w:qFormat/>
    <w:rsid w:val="00266F37"/>
    <w:pPr>
      <w:keepNext/>
      <w:jc w:val="center"/>
      <w:outlineLvl w:val="0"/>
    </w:pPr>
    <w:rPr>
      <w:rFonts w:eastAsia="Times New Roman" w:cs="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ListParagraph">
    <w:name w:val="List Paragraph"/>
    <w:basedOn w:val="Normal"/>
    <w:uiPriority w:val="34"/>
    <w:qFormat/>
    <w:rsid w:val="00330E3F"/>
    <w:pPr>
      <w:ind w:left="720"/>
      <w:contextualSpacing/>
    </w:pPr>
  </w:style>
  <w:style w:type="paragraph" w:styleId="Footer">
    <w:name w:val="footer"/>
    <w:basedOn w:val="Normal"/>
    <w:link w:val="FooterChar"/>
    <w:uiPriority w:val="99"/>
    <w:unhideWhenUsed/>
    <w:rsid w:val="00330E3F"/>
    <w:pPr>
      <w:tabs>
        <w:tab w:val="center" w:pos="4513"/>
        <w:tab w:val="right" w:pos="9026"/>
      </w:tabs>
    </w:pPr>
  </w:style>
  <w:style w:type="character" w:customStyle="1" w:styleId="FooterChar">
    <w:name w:val="Footer Char"/>
    <w:basedOn w:val="DefaultParagraphFont"/>
    <w:link w:val="Footer"/>
    <w:uiPriority w:val="99"/>
    <w:rsid w:val="00330E3F"/>
    <w:rPr>
      <w:kern w:val="0"/>
    </w:rPr>
  </w:style>
  <w:style w:type="table" w:styleId="TableGrid">
    <w:name w:val="Table Grid"/>
    <w:basedOn w:val="TableNormal"/>
    <w:uiPriority w:val="59"/>
    <w:rsid w:val="00330E3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0E3F"/>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3</Pages>
  <Words>1158</Words>
  <Characters>6607</Characters>
  <Application>Microsoft Office Word</Application>
  <DocSecurity>0</DocSecurity>
  <Lines>55</Lines>
  <Paragraphs>15</Paragraphs>
  <ScaleCrop>false</ScaleCrop>
  <Company>Vale of Glamorgan Council</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Lindsay</dc:creator>
  <cp:keywords/>
  <dc:description/>
  <cp:lastModifiedBy>Christian, Lindsay</cp:lastModifiedBy>
  <cp:revision>8</cp:revision>
  <dcterms:created xsi:type="dcterms:W3CDTF">2024-05-07T07:37:00Z</dcterms:created>
  <dcterms:modified xsi:type="dcterms:W3CDTF">2024-05-08T10:55:00Z</dcterms:modified>
</cp:coreProperties>
</file>