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DC15" w14:textId="77777777" w:rsidR="007C63E8" w:rsidRPr="003D6E0F" w:rsidRDefault="007C63E8" w:rsidP="007C63E8">
      <w:pPr>
        <w:rPr>
          <w:rFonts w:ascii="Arial" w:hAnsi="Arial" w:cs="Arial"/>
          <w:b/>
          <w:bCs/>
        </w:rPr>
      </w:pPr>
      <w:r w:rsidRPr="003D6E0F">
        <w:rPr>
          <w:rFonts w:ascii="Arial" w:hAnsi="Arial" w:cs="Arial"/>
          <w:b/>
          <w:bCs/>
          <w:noProof/>
        </w:rPr>
        <w:drawing>
          <wp:anchor distT="0" distB="0" distL="114300" distR="114300" simplePos="0" relativeHeight="251659264" behindDoc="1" locked="0" layoutInCell="1" allowOverlap="1" wp14:anchorId="0C29C7AE" wp14:editId="39DE23BF">
            <wp:simplePos x="0" y="0"/>
            <wp:positionH relativeFrom="margin">
              <wp:align>right</wp:align>
            </wp:positionH>
            <wp:positionV relativeFrom="paragraph">
              <wp:posOffset>-438150</wp:posOffset>
            </wp:positionV>
            <wp:extent cx="1905000" cy="1571625"/>
            <wp:effectExtent l="0" t="0" r="0" b="9525"/>
            <wp:wrapNone/>
            <wp:docPr id="48695702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57021" name="Picture 1" descr="A black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5000" cy="1571625"/>
                    </a:xfrm>
                    <a:prstGeom prst="rect">
                      <a:avLst/>
                    </a:prstGeom>
                  </pic:spPr>
                </pic:pic>
              </a:graphicData>
            </a:graphic>
            <wp14:sizeRelH relativeFrom="page">
              <wp14:pctWidth>0</wp14:pctWidth>
            </wp14:sizeRelH>
            <wp14:sizeRelV relativeFrom="page">
              <wp14:pctHeight>0</wp14:pctHeight>
            </wp14:sizeRelV>
          </wp:anchor>
        </w:drawing>
      </w:r>
      <w:r w:rsidRPr="003D6E0F">
        <w:rPr>
          <w:rFonts w:ascii="Arial" w:hAnsi="Arial" w:cs="Arial"/>
          <w:b/>
          <w:bCs/>
        </w:rPr>
        <w:t>MEMORANDUM / COFNOD</w:t>
      </w:r>
    </w:p>
    <w:p w14:paraId="1932FB6E" w14:textId="77777777" w:rsidR="007C63E8" w:rsidRPr="003D6E0F" w:rsidRDefault="007C63E8" w:rsidP="007C63E8">
      <w:pPr>
        <w:rPr>
          <w:rFonts w:ascii="Arial" w:hAnsi="Arial" w:cs="Arial"/>
        </w:rPr>
      </w:pPr>
    </w:p>
    <w:p w14:paraId="53E470B8" w14:textId="77777777" w:rsidR="007C63E8" w:rsidRPr="003D6E0F" w:rsidRDefault="007C63E8" w:rsidP="007C63E8">
      <w:pPr>
        <w:spacing w:line="276" w:lineRule="auto"/>
        <w:rPr>
          <w:rFonts w:ascii="Arial" w:hAnsi="Arial" w:cs="Arial"/>
        </w:rPr>
      </w:pPr>
      <w:r w:rsidRPr="003D6E0F">
        <w:rPr>
          <w:rFonts w:ascii="Arial" w:hAnsi="Arial" w:cs="Arial"/>
        </w:rPr>
        <w:t xml:space="preserve"> The Vale of Glamorgan Council</w:t>
      </w:r>
    </w:p>
    <w:p w14:paraId="7DC520CD" w14:textId="77777777" w:rsidR="007C63E8" w:rsidRPr="003D6E0F" w:rsidRDefault="007C63E8" w:rsidP="007C63E8">
      <w:pPr>
        <w:spacing w:line="276" w:lineRule="auto"/>
        <w:rPr>
          <w:rFonts w:ascii="Arial" w:hAnsi="Arial" w:cs="Arial"/>
        </w:rPr>
      </w:pPr>
      <w:r w:rsidRPr="003D6E0F">
        <w:rPr>
          <w:rFonts w:ascii="Arial" w:hAnsi="Arial" w:cs="Arial"/>
        </w:rPr>
        <w:t xml:space="preserve"> Development Services</w:t>
      </w:r>
    </w:p>
    <w:p w14:paraId="0E885023" w14:textId="77777777" w:rsidR="007C63E8" w:rsidRPr="003D6E0F" w:rsidRDefault="007C63E8" w:rsidP="007C63E8">
      <w:pPr>
        <w:spacing w:line="276" w:lineRule="auto"/>
        <w:rPr>
          <w:rFonts w:ascii="Arial" w:hAnsi="Arial" w:cs="Arial"/>
        </w:rPr>
      </w:pPr>
      <w:r w:rsidRPr="003D6E0F">
        <w:rPr>
          <w:rFonts w:ascii="Arial" w:hAnsi="Arial" w:cs="Arial"/>
        </w:rPr>
        <w:t xml:space="preserve"> Dock Office, Barry Docks, Barry, CF63 4RT</w:t>
      </w:r>
    </w:p>
    <w:p w14:paraId="1E770557" w14:textId="77777777" w:rsidR="007C63E8" w:rsidRDefault="007C63E8" w:rsidP="007C63E8">
      <w:pPr>
        <w:rPr>
          <w:rFonts w:ascii="Arial" w:hAnsi="Arial" w:cs="Arial"/>
        </w:rPr>
      </w:pPr>
    </w:p>
    <w:p w14:paraId="57149E0A" w14:textId="77777777" w:rsidR="007C63E8" w:rsidRDefault="007C63E8" w:rsidP="007C63E8">
      <w:pPr>
        <w:rPr>
          <w:rFonts w:ascii="Arial" w:hAnsi="Arial" w:cs="Arial"/>
        </w:rPr>
      </w:pPr>
    </w:p>
    <w:p w14:paraId="4CFFD1C1" w14:textId="77777777" w:rsidR="007C63E8" w:rsidRDefault="007C63E8" w:rsidP="007C63E8">
      <w:pPr>
        <w:rPr>
          <w:rFonts w:ascii="Arial" w:hAnsi="Arial" w:cs="Arial"/>
        </w:rPr>
      </w:pPr>
    </w:p>
    <w:p w14:paraId="0D1EB714" w14:textId="77777777" w:rsidR="007C63E8" w:rsidRDefault="007C63E8" w:rsidP="007C63E8">
      <w:pPr>
        <w:rPr>
          <w:rFonts w:ascii="Arial" w:hAnsi="Arial" w:cs="Arial"/>
        </w:rPr>
      </w:pPr>
    </w:p>
    <w:tbl>
      <w:tblPr>
        <w:tblStyle w:val="TableGrid"/>
        <w:tblW w:w="0" w:type="auto"/>
        <w:tblLook w:val="04A0" w:firstRow="1" w:lastRow="0" w:firstColumn="1" w:lastColumn="0" w:noHBand="0" w:noVBand="1"/>
      </w:tblPr>
      <w:tblGrid>
        <w:gridCol w:w="2500"/>
        <w:gridCol w:w="2172"/>
        <w:gridCol w:w="2172"/>
        <w:gridCol w:w="2172"/>
      </w:tblGrid>
      <w:tr w:rsidR="007C63E8" w14:paraId="4639F270" w14:textId="77777777" w:rsidTr="00B07E73">
        <w:tc>
          <w:tcPr>
            <w:tcW w:w="9016" w:type="dxa"/>
            <w:gridSpan w:val="4"/>
            <w:shd w:val="clear" w:color="auto" w:fill="D9D9D9" w:themeFill="background1" w:themeFillShade="D9"/>
          </w:tcPr>
          <w:p w14:paraId="6E622532" w14:textId="77777777" w:rsidR="007C63E8" w:rsidRPr="00861191" w:rsidRDefault="007C63E8" w:rsidP="00B07E73">
            <w:pPr>
              <w:jc w:val="center"/>
              <w:rPr>
                <w:rFonts w:ascii="Arial" w:hAnsi="Arial" w:cs="Arial"/>
                <w:b/>
                <w:bCs/>
                <w:sz w:val="24"/>
                <w:szCs w:val="24"/>
              </w:rPr>
            </w:pPr>
            <w:r w:rsidRPr="00861191">
              <w:rPr>
                <w:rFonts w:ascii="Arial" w:hAnsi="Arial" w:cs="Arial"/>
                <w:b/>
                <w:bCs/>
                <w:sz w:val="24"/>
                <w:szCs w:val="24"/>
              </w:rPr>
              <w:t xml:space="preserve">CONSERVATION CONSULTATION </w:t>
            </w:r>
          </w:p>
        </w:tc>
      </w:tr>
      <w:tr w:rsidR="007C63E8" w14:paraId="150C4E32" w14:textId="77777777" w:rsidTr="00B07E73">
        <w:tc>
          <w:tcPr>
            <w:tcW w:w="2500" w:type="dxa"/>
          </w:tcPr>
          <w:p w14:paraId="38169585" w14:textId="77777777" w:rsidR="007C63E8" w:rsidRPr="00861191" w:rsidRDefault="007C63E8" w:rsidP="00B07E73">
            <w:pPr>
              <w:spacing w:line="360" w:lineRule="auto"/>
              <w:rPr>
                <w:rFonts w:ascii="Arial" w:hAnsi="Arial" w:cs="Arial"/>
                <w:b/>
                <w:bCs/>
              </w:rPr>
            </w:pPr>
            <w:r w:rsidRPr="00861191">
              <w:rPr>
                <w:rFonts w:ascii="Arial" w:hAnsi="Arial" w:cs="Arial"/>
                <w:b/>
                <w:bCs/>
              </w:rPr>
              <w:t>Application No.</w:t>
            </w:r>
          </w:p>
        </w:tc>
        <w:tc>
          <w:tcPr>
            <w:tcW w:w="2172" w:type="dxa"/>
          </w:tcPr>
          <w:p w14:paraId="5572D932" w14:textId="0577E6BE" w:rsidR="007C63E8" w:rsidRDefault="007C63E8" w:rsidP="00B07E73">
            <w:pPr>
              <w:rPr>
                <w:rFonts w:ascii="Arial" w:hAnsi="Arial" w:cs="Arial"/>
              </w:rPr>
            </w:pPr>
            <w:r>
              <w:rPr>
                <w:rFonts w:ascii="Arial" w:hAnsi="Arial" w:cs="Arial"/>
              </w:rPr>
              <w:t>2023/01165</w:t>
            </w:r>
          </w:p>
        </w:tc>
        <w:tc>
          <w:tcPr>
            <w:tcW w:w="2172" w:type="dxa"/>
          </w:tcPr>
          <w:p w14:paraId="320330C0" w14:textId="77777777" w:rsidR="007C63E8" w:rsidRPr="00861191" w:rsidRDefault="007C63E8" w:rsidP="00B07E73">
            <w:pPr>
              <w:rPr>
                <w:rFonts w:ascii="Arial" w:hAnsi="Arial" w:cs="Arial"/>
                <w:b/>
                <w:bCs/>
              </w:rPr>
            </w:pPr>
            <w:r w:rsidRPr="00861191">
              <w:rPr>
                <w:rFonts w:ascii="Arial" w:hAnsi="Arial" w:cs="Arial"/>
                <w:b/>
                <w:bCs/>
              </w:rPr>
              <w:t>Date</w:t>
            </w:r>
          </w:p>
        </w:tc>
        <w:tc>
          <w:tcPr>
            <w:tcW w:w="2172" w:type="dxa"/>
          </w:tcPr>
          <w:p w14:paraId="3F720A92" w14:textId="2B7029D7" w:rsidR="007C63E8" w:rsidRDefault="007C63E8" w:rsidP="00B07E73">
            <w:pPr>
              <w:rPr>
                <w:rFonts w:ascii="Arial" w:hAnsi="Arial" w:cs="Arial"/>
              </w:rPr>
            </w:pPr>
            <w:r>
              <w:rPr>
                <w:rFonts w:ascii="Arial" w:hAnsi="Arial" w:cs="Arial"/>
              </w:rPr>
              <w:t>26.01.2024</w:t>
            </w:r>
          </w:p>
        </w:tc>
      </w:tr>
      <w:tr w:rsidR="007C63E8" w14:paraId="7B006C40" w14:textId="77777777" w:rsidTr="00B07E73">
        <w:tc>
          <w:tcPr>
            <w:tcW w:w="2500" w:type="dxa"/>
          </w:tcPr>
          <w:p w14:paraId="14208EC3" w14:textId="77777777" w:rsidR="007C63E8" w:rsidRPr="00861191" w:rsidRDefault="007C63E8" w:rsidP="00B07E73">
            <w:pPr>
              <w:spacing w:line="360" w:lineRule="auto"/>
              <w:rPr>
                <w:rFonts w:ascii="Arial" w:hAnsi="Arial" w:cs="Arial"/>
                <w:b/>
                <w:bCs/>
              </w:rPr>
            </w:pPr>
            <w:r w:rsidRPr="00861191">
              <w:rPr>
                <w:rFonts w:ascii="Arial" w:hAnsi="Arial" w:cs="Arial"/>
                <w:b/>
                <w:bCs/>
              </w:rPr>
              <w:t>Site</w:t>
            </w:r>
          </w:p>
        </w:tc>
        <w:tc>
          <w:tcPr>
            <w:tcW w:w="6516" w:type="dxa"/>
            <w:gridSpan w:val="3"/>
          </w:tcPr>
          <w:p w14:paraId="401183F7" w14:textId="57E64500" w:rsidR="007C63E8" w:rsidRDefault="007C63E8" w:rsidP="00B07E73">
            <w:pPr>
              <w:rPr>
                <w:rFonts w:ascii="Arial" w:hAnsi="Arial" w:cs="Arial"/>
              </w:rPr>
            </w:pPr>
            <w:r>
              <w:rPr>
                <w:rFonts w:ascii="Arial" w:hAnsi="Arial" w:cs="Arial"/>
              </w:rPr>
              <w:t>First Floor Flat, 57 Stanwell Road, Penarth</w:t>
            </w:r>
          </w:p>
        </w:tc>
      </w:tr>
      <w:tr w:rsidR="007C63E8" w14:paraId="1683ABD1" w14:textId="77777777" w:rsidTr="00B07E73">
        <w:tc>
          <w:tcPr>
            <w:tcW w:w="2500" w:type="dxa"/>
          </w:tcPr>
          <w:p w14:paraId="5A45C511" w14:textId="77777777" w:rsidR="007C63E8" w:rsidRPr="00861191" w:rsidRDefault="007C63E8" w:rsidP="00B07E73">
            <w:pPr>
              <w:spacing w:line="360" w:lineRule="auto"/>
              <w:rPr>
                <w:rFonts w:ascii="Arial" w:hAnsi="Arial" w:cs="Arial"/>
                <w:b/>
                <w:bCs/>
              </w:rPr>
            </w:pPr>
            <w:r w:rsidRPr="00861191">
              <w:rPr>
                <w:rFonts w:ascii="Arial" w:hAnsi="Arial" w:cs="Arial"/>
                <w:b/>
                <w:bCs/>
              </w:rPr>
              <w:t>Description</w:t>
            </w:r>
          </w:p>
        </w:tc>
        <w:tc>
          <w:tcPr>
            <w:tcW w:w="6516" w:type="dxa"/>
            <w:gridSpan w:val="3"/>
          </w:tcPr>
          <w:p w14:paraId="41A5F3B8" w14:textId="21050039" w:rsidR="007C63E8" w:rsidRDefault="007C63E8" w:rsidP="00B07E73">
            <w:pPr>
              <w:rPr>
                <w:rFonts w:ascii="Arial" w:hAnsi="Arial" w:cs="Arial"/>
              </w:rPr>
            </w:pPr>
            <w:r>
              <w:rPr>
                <w:rFonts w:ascii="Arial" w:hAnsi="Arial" w:cs="Arial"/>
              </w:rPr>
              <w:t>Replacement galvanised balcony on site of old wooden balcony</w:t>
            </w:r>
          </w:p>
        </w:tc>
      </w:tr>
      <w:tr w:rsidR="007C63E8" w14:paraId="4B4140B6" w14:textId="77777777" w:rsidTr="00B07E73">
        <w:tc>
          <w:tcPr>
            <w:tcW w:w="2500" w:type="dxa"/>
          </w:tcPr>
          <w:p w14:paraId="54633FD3" w14:textId="77777777" w:rsidR="007C63E8" w:rsidRPr="00861191" w:rsidRDefault="007C63E8" w:rsidP="00B07E73">
            <w:pPr>
              <w:spacing w:line="360" w:lineRule="auto"/>
              <w:rPr>
                <w:rFonts w:ascii="Arial" w:hAnsi="Arial" w:cs="Arial"/>
                <w:b/>
                <w:bCs/>
              </w:rPr>
            </w:pPr>
            <w:r w:rsidRPr="00861191">
              <w:rPr>
                <w:rFonts w:ascii="Arial" w:hAnsi="Arial" w:cs="Arial"/>
                <w:b/>
                <w:bCs/>
              </w:rPr>
              <w:t>Case Officer</w:t>
            </w:r>
          </w:p>
        </w:tc>
        <w:tc>
          <w:tcPr>
            <w:tcW w:w="2172" w:type="dxa"/>
          </w:tcPr>
          <w:p w14:paraId="7E9465C1" w14:textId="091DF863" w:rsidR="007C63E8" w:rsidRDefault="007C63E8" w:rsidP="00B07E73">
            <w:pPr>
              <w:rPr>
                <w:rFonts w:ascii="Arial" w:hAnsi="Arial" w:cs="Arial"/>
              </w:rPr>
            </w:pPr>
            <w:r>
              <w:rPr>
                <w:rFonts w:ascii="Arial" w:hAnsi="Arial" w:cs="Arial"/>
              </w:rPr>
              <w:t>HM</w:t>
            </w:r>
          </w:p>
        </w:tc>
        <w:tc>
          <w:tcPr>
            <w:tcW w:w="2172" w:type="dxa"/>
          </w:tcPr>
          <w:p w14:paraId="1E1090BB" w14:textId="77777777" w:rsidR="007C63E8" w:rsidRPr="00861191" w:rsidRDefault="007C63E8" w:rsidP="00B07E73">
            <w:pPr>
              <w:rPr>
                <w:rFonts w:ascii="Arial" w:hAnsi="Arial" w:cs="Arial"/>
                <w:b/>
                <w:bCs/>
              </w:rPr>
            </w:pPr>
            <w:r w:rsidRPr="00861191">
              <w:rPr>
                <w:rFonts w:ascii="Arial" w:hAnsi="Arial" w:cs="Arial"/>
                <w:b/>
                <w:bCs/>
              </w:rPr>
              <w:t xml:space="preserve">Heritage Officer </w:t>
            </w:r>
          </w:p>
        </w:tc>
        <w:tc>
          <w:tcPr>
            <w:tcW w:w="2172" w:type="dxa"/>
          </w:tcPr>
          <w:p w14:paraId="7C8D13E5" w14:textId="0278E3E8" w:rsidR="007C63E8" w:rsidRDefault="007C63E8" w:rsidP="00B07E73">
            <w:pPr>
              <w:rPr>
                <w:rFonts w:ascii="Arial" w:hAnsi="Arial" w:cs="Arial"/>
              </w:rPr>
            </w:pPr>
            <w:r>
              <w:rPr>
                <w:rFonts w:ascii="Arial" w:hAnsi="Arial" w:cs="Arial"/>
              </w:rPr>
              <w:t>LC</w:t>
            </w:r>
          </w:p>
        </w:tc>
      </w:tr>
    </w:tbl>
    <w:p w14:paraId="215C5E29" w14:textId="77777777" w:rsidR="007C63E8" w:rsidRDefault="007C63E8" w:rsidP="007C63E8">
      <w:pPr>
        <w:rPr>
          <w:rFonts w:ascii="Arial" w:hAnsi="Arial" w:cs="Arial"/>
        </w:rPr>
      </w:pPr>
    </w:p>
    <w:p w14:paraId="6F950EC7" w14:textId="77777777" w:rsidR="007C63E8" w:rsidRDefault="007C63E8" w:rsidP="007C63E8">
      <w:pPr>
        <w:rPr>
          <w:rFonts w:ascii="Arial" w:hAnsi="Arial" w:cs="Arial"/>
        </w:rPr>
      </w:pPr>
    </w:p>
    <w:tbl>
      <w:tblPr>
        <w:tblStyle w:val="TableGrid"/>
        <w:tblW w:w="9067" w:type="dxa"/>
        <w:tblLook w:val="04A0" w:firstRow="1" w:lastRow="0" w:firstColumn="1" w:lastColumn="0" w:noHBand="0" w:noVBand="1"/>
      </w:tblPr>
      <w:tblGrid>
        <w:gridCol w:w="1726"/>
        <w:gridCol w:w="1742"/>
        <w:gridCol w:w="3048"/>
        <w:gridCol w:w="2551"/>
      </w:tblGrid>
      <w:tr w:rsidR="007C63E8" w14:paraId="0B72C3AC" w14:textId="77777777" w:rsidTr="00B07E73">
        <w:tc>
          <w:tcPr>
            <w:tcW w:w="1726" w:type="dxa"/>
            <w:shd w:val="clear" w:color="auto" w:fill="D9D9D9" w:themeFill="background1" w:themeFillShade="D9"/>
          </w:tcPr>
          <w:p w14:paraId="4464D7DC" w14:textId="77777777" w:rsidR="007C63E8" w:rsidRPr="0006358D" w:rsidRDefault="007C63E8" w:rsidP="00B07E73">
            <w:pPr>
              <w:rPr>
                <w:rFonts w:ascii="Arial" w:hAnsi="Arial" w:cs="Arial"/>
                <w:b/>
                <w:bCs/>
              </w:rPr>
            </w:pPr>
            <w:r w:rsidRPr="0006358D">
              <w:rPr>
                <w:rFonts w:ascii="Arial" w:hAnsi="Arial" w:cs="Arial"/>
                <w:b/>
                <w:bCs/>
              </w:rPr>
              <w:t>Objection</w:t>
            </w:r>
          </w:p>
        </w:tc>
        <w:tc>
          <w:tcPr>
            <w:tcW w:w="1742" w:type="dxa"/>
            <w:shd w:val="clear" w:color="auto" w:fill="D9D9D9" w:themeFill="background1" w:themeFillShade="D9"/>
          </w:tcPr>
          <w:p w14:paraId="6BB9FE97" w14:textId="77777777" w:rsidR="007C63E8" w:rsidRPr="0006358D" w:rsidRDefault="007C63E8" w:rsidP="00B07E73">
            <w:pPr>
              <w:rPr>
                <w:rFonts w:ascii="Arial" w:hAnsi="Arial" w:cs="Arial"/>
                <w:b/>
                <w:bCs/>
              </w:rPr>
            </w:pPr>
            <w:r w:rsidRPr="0006358D">
              <w:rPr>
                <w:rFonts w:ascii="Arial" w:hAnsi="Arial" w:cs="Arial"/>
                <w:b/>
                <w:bCs/>
              </w:rPr>
              <w:t>Comments</w:t>
            </w:r>
          </w:p>
        </w:tc>
        <w:tc>
          <w:tcPr>
            <w:tcW w:w="3048" w:type="dxa"/>
            <w:shd w:val="clear" w:color="auto" w:fill="D9D9D9" w:themeFill="background1" w:themeFillShade="D9"/>
          </w:tcPr>
          <w:p w14:paraId="5968E7BB" w14:textId="77777777" w:rsidR="007C63E8" w:rsidRPr="0006358D" w:rsidRDefault="007C63E8" w:rsidP="00B07E73">
            <w:pPr>
              <w:rPr>
                <w:rFonts w:ascii="Arial" w:hAnsi="Arial" w:cs="Arial"/>
                <w:b/>
                <w:bCs/>
              </w:rPr>
            </w:pPr>
            <w:r w:rsidRPr="0006358D">
              <w:rPr>
                <w:rFonts w:ascii="Arial" w:hAnsi="Arial" w:cs="Arial"/>
                <w:b/>
                <w:bCs/>
              </w:rPr>
              <w:t>Amendment/Further Info</w:t>
            </w:r>
          </w:p>
        </w:tc>
        <w:tc>
          <w:tcPr>
            <w:tcW w:w="2551" w:type="dxa"/>
            <w:shd w:val="clear" w:color="auto" w:fill="D9D9D9" w:themeFill="background1" w:themeFillShade="D9"/>
          </w:tcPr>
          <w:p w14:paraId="288EDAF5" w14:textId="77777777" w:rsidR="007C63E8" w:rsidRPr="0006358D" w:rsidRDefault="007C63E8" w:rsidP="00B07E73">
            <w:pPr>
              <w:rPr>
                <w:rFonts w:ascii="Arial" w:hAnsi="Arial" w:cs="Arial"/>
                <w:b/>
                <w:bCs/>
              </w:rPr>
            </w:pPr>
            <w:r w:rsidRPr="0006358D">
              <w:rPr>
                <w:rFonts w:ascii="Arial" w:hAnsi="Arial" w:cs="Arial"/>
                <w:b/>
                <w:bCs/>
              </w:rPr>
              <w:t>Condition(s)</w:t>
            </w:r>
          </w:p>
        </w:tc>
      </w:tr>
      <w:tr w:rsidR="007C63E8" w14:paraId="2C73D11D" w14:textId="77777777" w:rsidTr="00B07E73">
        <w:tc>
          <w:tcPr>
            <w:tcW w:w="1726" w:type="dxa"/>
          </w:tcPr>
          <w:p w14:paraId="4CC948B8" w14:textId="77777777" w:rsidR="007C63E8" w:rsidRDefault="007C63E8" w:rsidP="00B07E73">
            <w:pPr>
              <w:rPr>
                <w:rFonts w:ascii="Arial" w:hAnsi="Arial" w:cs="Arial"/>
              </w:rPr>
            </w:pPr>
          </w:p>
          <w:p w14:paraId="60F78D43" w14:textId="77777777" w:rsidR="007C63E8" w:rsidRDefault="007C63E8" w:rsidP="00B07E73">
            <w:pPr>
              <w:rPr>
                <w:rFonts w:ascii="Arial" w:hAnsi="Arial" w:cs="Arial"/>
              </w:rPr>
            </w:pPr>
          </w:p>
        </w:tc>
        <w:tc>
          <w:tcPr>
            <w:tcW w:w="1742" w:type="dxa"/>
          </w:tcPr>
          <w:p w14:paraId="13F33C0D" w14:textId="0F1EACF9" w:rsidR="007C63E8" w:rsidRDefault="007C63E8" w:rsidP="00B07E73">
            <w:pPr>
              <w:rPr>
                <w:rFonts w:ascii="Arial" w:hAnsi="Arial" w:cs="Arial"/>
              </w:rPr>
            </w:pPr>
            <w:r>
              <w:rPr>
                <w:rFonts w:ascii="Arial" w:hAnsi="Arial" w:cs="Arial"/>
              </w:rPr>
              <w:t>x</w:t>
            </w:r>
          </w:p>
        </w:tc>
        <w:tc>
          <w:tcPr>
            <w:tcW w:w="3048" w:type="dxa"/>
          </w:tcPr>
          <w:p w14:paraId="75538A19" w14:textId="77777777" w:rsidR="007C63E8" w:rsidRDefault="007C63E8" w:rsidP="00B07E73">
            <w:pPr>
              <w:rPr>
                <w:rFonts w:ascii="Arial" w:hAnsi="Arial" w:cs="Arial"/>
              </w:rPr>
            </w:pPr>
          </w:p>
        </w:tc>
        <w:tc>
          <w:tcPr>
            <w:tcW w:w="2551" w:type="dxa"/>
          </w:tcPr>
          <w:p w14:paraId="20E5D6F2" w14:textId="77777777" w:rsidR="007C63E8" w:rsidRDefault="007C63E8" w:rsidP="00B07E73">
            <w:pPr>
              <w:rPr>
                <w:rFonts w:ascii="Arial" w:hAnsi="Arial" w:cs="Arial"/>
              </w:rPr>
            </w:pPr>
          </w:p>
        </w:tc>
      </w:tr>
    </w:tbl>
    <w:p w14:paraId="722A1F26" w14:textId="77777777" w:rsidR="007C63E8" w:rsidRDefault="007C63E8" w:rsidP="007C63E8">
      <w:pPr>
        <w:rPr>
          <w:rFonts w:ascii="Arial" w:hAnsi="Arial" w:cs="Arial"/>
        </w:rPr>
      </w:pPr>
    </w:p>
    <w:p w14:paraId="54F9D7EF" w14:textId="77777777" w:rsidR="007C63E8" w:rsidRPr="003D6E0F" w:rsidRDefault="007C63E8" w:rsidP="007C63E8">
      <w:pPr>
        <w:rPr>
          <w:rFonts w:ascii="Arial" w:hAnsi="Arial" w:cs="Arial"/>
        </w:rPr>
      </w:pPr>
    </w:p>
    <w:p w14:paraId="0FDDD1A8" w14:textId="77777777" w:rsidR="007C63E8" w:rsidRPr="0006358D" w:rsidRDefault="007C63E8" w:rsidP="007C63E8">
      <w:pPr>
        <w:rPr>
          <w:rFonts w:ascii="Arial" w:hAnsi="Arial" w:cs="Arial"/>
          <w:b/>
          <w:bCs/>
          <w:u w:val="single"/>
        </w:rPr>
      </w:pPr>
      <w:r w:rsidRPr="0006358D">
        <w:rPr>
          <w:rFonts w:ascii="Arial" w:hAnsi="Arial" w:cs="Arial"/>
          <w:b/>
          <w:bCs/>
          <w:u w:val="single"/>
        </w:rPr>
        <w:t>Background</w:t>
      </w:r>
    </w:p>
    <w:p w14:paraId="4BC0C7BD" w14:textId="77777777" w:rsidR="007C63E8" w:rsidRPr="003D6E0F" w:rsidRDefault="007C63E8" w:rsidP="007C63E8">
      <w:pPr>
        <w:rPr>
          <w:rFonts w:ascii="Arial" w:hAnsi="Arial" w:cs="Arial"/>
          <w:b/>
          <w:bCs/>
        </w:rPr>
      </w:pPr>
    </w:p>
    <w:p w14:paraId="3DBB6FDB" w14:textId="4584D939" w:rsidR="007C63E8" w:rsidRPr="003D6E0F" w:rsidRDefault="007C63E8" w:rsidP="007C63E8">
      <w:pPr>
        <w:rPr>
          <w:rFonts w:ascii="Arial" w:hAnsi="Arial" w:cs="Arial"/>
        </w:rPr>
      </w:pPr>
      <w:r>
        <w:rPr>
          <w:rFonts w:ascii="Arial" w:hAnsi="Arial" w:cs="Arial"/>
        </w:rPr>
        <w:t xml:space="preserve">No. 57 Stanwell Road, now divided into flats, is located within the Penarth Conservation Area. </w:t>
      </w:r>
    </w:p>
    <w:p w14:paraId="5ABF085D" w14:textId="77777777" w:rsidR="007C63E8" w:rsidRDefault="007C63E8" w:rsidP="007C63E8">
      <w:pPr>
        <w:rPr>
          <w:rFonts w:ascii="Arial" w:hAnsi="Arial" w:cs="Arial"/>
        </w:rPr>
      </w:pPr>
    </w:p>
    <w:p w14:paraId="6DB0AF86" w14:textId="77777777" w:rsidR="007C63E8" w:rsidRDefault="007C63E8" w:rsidP="007C63E8">
      <w:pPr>
        <w:rPr>
          <w:rFonts w:ascii="Arial" w:hAnsi="Arial" w:cs="Arial"/>
        </w:rPr>
      </w:pPr>
    </w:p>
    <w:p w14:paraId="163ABEAC" w14:textId="77777777" w:rsidR="007C63E8" w:rsidRDefault="007C63E8" w:rsidP="007C63E8">
      <w:pPr>
        <w:rPr>
          <w:rFonts w:ascii="Arial" w:hAnsi="Arial" w:cs="Arial"/>
          <w:b/>
          <w:bCs/>
          <w:u w:val="single"/>
        </w:rPr>
      </w:pPr>
      <w:r w:rsidRPr="0006358D">
        <w:rPr>
          <w:rFonts w:ascii="Arial" w:hAnsi="Arial" w:cs="Arial"/>
          <w:b/>
          <w:bCs/>
          <w:u w:val="single"/>
        </w:rPr>
        <w:t>Comments</w:t>
      </w:r>
    </w:p>
    <w:p w14:paraId="7784C745" w14:textId="77777777" w:rsidR="007C63E8" w:rsidRPr="007C63E8" w:rsidRDefault="007C63E8" w:rsidP="007C63E8">
      <w:pPr>
        <w:rPr>
          <w:rFonts w:ascii="Arial" w:hAnsi="Arial" w:cs="Arial"/>
          <w:b/>
          <w:bCs/>
        </w:rPr>
      </w:pPr>
    </w:p>
    <w:p w14:paraId="3D1AABAE" w14:textId="236076C2" w:rsidR="007C63E8" w:rsidRPr="007C63E8" w:rsidRDefault="007C63E8" w:rsidP="007C63E8">
      <w:pPr>
        <w:rPr>
          <w:rFonts w:ascii="Arial" w:hAnsi="Arial" w:cs="Arial"/>
        </w:rPr>
      </w:pPr>
      <w:r w:rsidRPr="007C63E8">
        <w:rPr>
          <w:rFonts w:ascii="Arial" w:hAnsi="Arial" w:cs="Arial"/>
        </w:rPr>
        <w:t xml:space="preserve">Due to the lack of visibility of the proposed balcony in the Conservation Area and that the proposal is a replacement structure, no adverse heritage impacts are noted. </w:t>
      </w:r>
    </w:p>
    <w:p w14:paraId="66B17EFC" w14:textId="77777777" w:rsidR="007C63E8" w:rsidRPr="003D6E0F" w:rsidRDefault="007C63E8" w:rsidP="007C63E8">
      <w:pPr>
        <w:rPr>
          <w:rFonts w:ascii="Arial" w:hAnsi="Arial" w:cs="Arial"/>
          <w:b/>
          <w:bCs/>
        </w:rPr>
      </w:pPr>
    </w:p>
    <w:p w14:paraId="22AC7D9D" w14:textId="77777777" w:rsidR="007C63E8" w:rsidRPr="0006358D" w:rsidRDefault="007C63E8" w:rsidP="007C63E8">
      <w:pPr>
        <w:rPr>
          <w:rFonts w:ascii="Arial" w:hAnsi="Arial" w:cs="Arial"/>
          <w:b/>
          <w:bCs/>
          <w:u w:val="single"/>
        </w:rPr>
      </w:pPr>
      <w:r w:rsidRPr="0006358D">
        <w:rPr>
          <w:rFonts w:ascii="Arial" w:hAnsi="Arial" w:cs="Arial"/>
          <w:b/>
          <w:bCs/>
          <w:u w:val="single"/>
        </w:rPr>
        <w:t>Policy/Legislation Overview</w:t>
      </w:r>
    </w:p>
    <w:p w14:paraId="4E5BC3A8" w14:textId="77777777" w:rsidR="007C63E8" w:rsidRDefault="007C63E8" w:rsidP="007C63E8">
      <w:pPr>
        <w:rPr>
          <w:rFonts w:ascii="Arial" w:hAnsi="Arial" w:cs="Arial"/>
          <w:b/>
          <w:bCs/>
        </w:rPr>
      </w:pPr>
    </w:p>
    <w:p w14:paraId="316DD2C8" w14:textId="77777777" w:rsidR="007C63E8" w:rsidRPr="003D6E0F" w:rsidRDefault="007C63E8" w:rsidP="007C63E8">
      <w:pPr>
        <w:rPr>
          <w:rFonts w:ascii="Calibri" w:hAnsi="Calibri" w:cs="Calibri"/>
          <w:b/>
          <w:bCs/>
        </w:rPr>
      </w:pPr>
      <w:r w:rsidRPr="003D6E0F">
        <w:rPr>
          <w:b/>
          <w:bCs/>
        </w:rPr>
        <w:t>Planning (Listed Buildings and Conservation Areas) Act 1990</w:t>
      </w:r>
    </w:p>
    <w:p w14:paraId="5D3C18D3" w14:textId="77777777" w:rsidR="007C63E8" w:rsidRPr="003D6E0F" w:rsidRDefault="007C63E8" w:rsidP="007C63E8">
      <w:pPr>
        <w:rPr>
          <w:b/>
          <w:bCs/>
        </w:rPr>
      </w:pPr>
    </w:p>
    <w:p w14:paraId="65912C25" w14:textId="77777777" w:rsidR="007C63E8" w:rsidRDefault="007C63E8" w:rsidP="007C63E8">
      <w:r>
        <w:t>s. 66 In considering whether to grant planning permission for development which affects a listed building or its setting, the local planning authority or</w:t>
      </w:r>
      <w:proofErr w:type="gramStart"/>
      <w:r>
        <w:t>, as the case may be, the</w:t>
      </w:r>
      <w:proofErr w:type="gramEnd"/>
      <w:r>
        <w:t xml:space="preserve"> Secretary of State shall have special regard to the desirability of preserving the building or its setting or any features of special architectural or historic interest which it possesses.</w:t>
      </w:r>
    </w:p>
    <w:p w14:paraId="0D576AF3" w14:textId="77777777" w:rsidR="007C63E8" w:rsidRDefault="007C63E8" w:rsidP="007C63E8"/>
    <w:p w14:paraId="6DAEA825" w14:textId="77777777" w:rsidR="007C63E8" w:rsidRDefault="007C63E8" w:rsidP="007C63E8">
      <w:r>
        <w:t>s.72 In the exercise, with respect to any buildings or other land in a conservation area, any of the provisions mentioned in subsection (2), special attention shall be paid to the desirability of preserving or enhancing the character or appearance of that area.</w:t>
      </w:r>
    </w:p>
    <w:p w14:paraId="6075724D" w14:textId="77777777" w:rsidR="007C63E8" w:rsidRDefault="007C63E8" w:rsidP="007C63E8"/>
    <w:p w14:paraId="14AECC51" w14:textId="77777777" w:rsidR="007C63E8" w:rsidRDefault="007C63E8" w:rsidP="007C63E8">
      <w:pPr>
        <w:rPr>
          <w:b/>
          <w:bCs/>
        </w:rPr>
      </w:pPr>
      <w:r>
        <w:rPr>
          <w:b/>
          <w:bCs/>
        </w:rPr>
        <w:t>Planning Policy Wales 11</w:t>
      </w:r>
    </w:p>
    <w:p w14:paraId="10E0F8D3" w14:textId="77777777" w:rsidR="007C63E8" w:rsidRDefault="007C63E8" w:rsidP="007C63E8">
      <w:pPr>
        <w:rPr>
          <w:b/>
          <w:bCs/>
        </w:rPr>
      </w:pPr>
    </w:p>
    <w:p w14:paraId="21B66F60" w14:textId="77777777" w:rsidR="007C63E8" w:rsidRDefault="007C63E8" w:rsidP="007C63E8">
      <w:r>
        <w:t xml:space="preserve">6.1.6 Safeguard the character of historic buildings and manage change so that their special architectural and historic interest is preserved. </w:t>
      </w:r>
    </w:p>
    <w:p w14:paraId="6EDB7C9B" w14:textId="77777777" w:rsidR="007C63E8" w:rsidRDefault="007C63E8" w:rsidP="007C63E8"/>
    <w:p w14:paraId="75483221" w14:textId="77777777" w:rsidR="007C63E8" w:rsidRDefault="007C63E8" w:rsidP="007C63E8">
      <w:r>
        <w:lastRenderedPageBreak/>
        <w:t xml:space="preserve">6.1.10 There should be a general presumption in favour of the preservation or enhancement of a listed building and its setting, which might extend beyond its curtilage. For any development proposal affecting a listed building or its setting, the primary material consideration is the statutory requirement to have special regard to the desirability of preserving the building, its </w:t>
      </w:r>
      <w:proofErr w:type="gramStart"/>
      <w:r>
        <w:t>setting</w:t>
      </w:r>
      <w:proofErr w:type="gramEnd"/>
      <w:r>
        <w:t xml:space="preserve"> or any features of special architectural or historic interest which it possesses.</w:t>
      </w:r>
    </w:p>
    <w:p w14:paraId="6DB80483" w14:textId="77777777" w:rsidR="007C63E8" w:rsidRDefault="007C63E8" w:rsidP="007C63E8"/>
    <w:p w14:paraId="4791FE6A" w14:textId="77777777" w:rsidR="007C63E8" w:rsidRDefault="007C63E8" w:rsidP="007C63E8">
      <w:r>
        <w:t>6.1.16 Preservation or enhancement of a conservation area can be achieved by a development which either makes a positive contribution to an area's character or appearance or leaves them unharmed.</w:t>
      </w:r>
    </w:p>
    <w:p w14:paraId="46DA06D8" w14:textId="77777777" w:rsidR="007C63E8" w:rsidRDefault="007C63E8" w:rsidP="007C63E8"/>
    <w:p w14:paraId="35455A3F" w14:textId="77777777" w:rsidR="007C63E8" w:rsidRPr="003D6E0F" w:rsidRDefault="007C63E8" w:rsidP="007C63E8">
      <w:pPr>
        <w:rPr>
          <w:b/>
          <w:bCs/>
        </w:rPr>
      </w:pPr>
      <w:r w:rsidRPr="003D6E0F">
        <w:rPr>
          <w:b/>
          <w:bCs/>
        </w:rPr>
        <w:t xml:space="preserve">Technical Advice Note TAN 24 </w:t>
      </w:r>
    </w:p>
    <w:p w14:paraId="40A3EB31" w14:textId="77777777" w:rsidR="007C63E8" w:rsidRDefault="007C63E8" w:rsidP="007C63E8">
      <w:pPr>
        <w:rPr>
          <w:b/>
          <w:bCs/>
          <w:i/>
          <w:iCs/>
        </w:rPr>
      </w:pPr>
    </w:p>
    <w:p w14:paraId="6B829B81" w14:textId="77777777" w:rsidR="007C63E8" w:rsidRDefault="007C63E8" w:rsidP="007C63E8">
      <w:r>
        <w:t xml:space="preserve">Provides ‘guidance on how the planning system considers the historic environment during development plan preparation and decision making on planning </w:t>
      </w:r>
      <w:proofErr w:type="gramStart"/>
      <w:r>
        <w:t>applications’</w:t>
      </w:r>
      <w:proofErr w:type="gramEnd"/>
      <w:r>
        <w:t xml:space="preserve">. Reference is also made to the following Managing Change Documents supporting TAN </w:t>
      </w:r>
      <w:proofErr w:type="gramStart"/>
      <w:r>
        <w:t>24;</w:t>
      </w:r>
      <w:proofErr w:type="gramEnd"/>
    </w:p>
    <w:p w14:paraId="0C948280" w14:textId="77777777" w:rsidR="007C63E8" w:rsidRDefault="007C63E8" w:rsidP="007C63E8">
      <w:pPr>
        <w:rPr>
          <w:lang w:eastAsia="en-GB"/>
        </w:rPr>
      </w:pPr>
    </w:p>
    <w:p w14:paraId="385F2BDD" w14:textId="77777777" w:rsidR="007C63E8" w:rsidRDefault="007C63E8" w:rsidP="007C63E8">
      <w:pPr>
        <w:numPr>
          <w:ilvl w:val="0"/>
          <w:numId w:val="1"/>
        </w:numPr>
      </w:pPr>
      <w:r>
        <w:t>Managing Change to Listed Buildings</w:t>
      </w:r>
    </w:p>
    <w:p w14:paraId="36227C13" w14:textId="77777777" w:rsidR="007C63E8" w:rsidRDefault="007C63E8" w:rsidP="007C63E8">
      <w:pPr>
        <w:numPr>
          <w:ilvl w:val="0"/>
          <w:numId w:val="1"/>
        </w:numPr>
      </w:pPr>
      <w:r>
        <w:t xml:space="preserve">Managing Conservation Areas </w:t>
      </w:r>
    </w:p>
    <w:p w14:paraId="63FEC6FB" w14:textId="77777777" w:rsidR="007C63E8" w:rsidRDefault="007C63E8" w:rsidP="007C63E8">
      <w:pPr>
        <w:numPr>
          <w:ilvl w:val="0"/>
          <w:numId w:val="1"/>
        </w:numPr>
      </w:pPr>
      <w:r>
        <w:t>Managing Historic Character</w:t>
      </w:r>
    </w:p>
    <w:p w14:paraId="40248278" w14:textId="77777777" w:rsidR="007C63E8" w:rsidRDefault="007C63E8" w:rsidP="007C63E8">
      <w:pPr>
        <w:numPr>
          <w:ilvl w:val="0"/>
          <w:numId w:val="1"/>
        </w:numPr>
      </w:pPr>
      <w:r>
        <w:t>Managing Setting of Historic Assets</w:t>
      </w:r>
    </w:p>
    <w:p w14:paraId="53AE1607" w14:textId="77777777" w:rsidR="007C63E8" w:rsidRDefault="007C63E8" w:rsidP="007C63E8">
      <w:pPr>
        <w:numPr>
          <w:ilvl w:val="0"/>
          <w:numId w:val="1"/>
        </w:numPr>
      </w:pPr>
      <w:r>
        <w:t xml:space="preserve">Managing Registered Historic Parks and Gardens </w:t>
      </w:r>
    </w:p>
    <w:p w14:paraId="588FDB9D" w14:textId="77777777" w:rsidR="007C63E8" w:rsidRDefault="007C63E8" w:rsidP="007C63E8">
      <w:pPr>
        <w:numPr>
          <w:ilvl w:val="0"/>
          <w:numId w:val="1"/>
        </w:numPr>
      </w:pPr>
      <w:r>
        <w:t>Managing Listed Buildings at Risk</w:t>
      </w:r>
    </w:p>
    <w:p w14:paraId="21E90468" w14:textId="77777777" w:rsidR="007C63E8" w:rsidRDefault="007C63E8" w:rsidP="007C63E8"/>
    <w:p w14:paraId="035AD29E" w14:textId="77777777" w:rsidR="007C63E8" w:rsidRPr="003D6E0F" w:rsidRDefault="007C63E8" w:rsidP="007C63E8">
      <w:pPr>
        <w:rPr>
          <w:b/>
          <w:bCs/>
        </w:rPr>
      </w:pPr>
      <w:r w:rsidRPr="003D6E0F">
        <w:rPr>
          <w:b/>
          <w:bCs/>
        </w:rPr>
        <w:t xml:space="preserve">Local Development Plan </w:t>
      </w:r>
    </w:p>
    <w:p w14:paraId="4E4E99CA" w14:textId="77777777" w:rsidR="007C63E8" w:rsidRDefault="007C63E8" w:rsidP="007C63E8"/>
    <w:p w14:paraId="386EC289" w14:textId="77777777" w:rsidR="007C63E8" w:rsidRPr="003D6E0F" w:rsidRDefault="007C63E8" w:rsidP="007C63E8">
      <w:pPr>
        <w:rPr>
          <w:rFonts w:ascii="Arial" w:hAnsi="Arial" w:cs="Arial"/>
          <w:b/>
          <w:bCs/>
        </w:rPr>
      </w:pPr>
      <w:r>
        <w:t>The Vale of Glamorgan LDP policies reflect the national policy for the strict control of development affecting conservation areas. Policy SP10 (Built and Natural Environment) and Policy MD8 (Historic Environment) set out the preserve or enhance the character or appearance of the Vale of Glamorgan’s Conservation Areas.</w:t>
      </w:r>
    </w:p>
    <w:p w14:paraId="566163E1" w14:textId="77777777" w:rsidR="00B94603" w:rsidRDefault="00B94603"/>
    <w:sectPr w:rsidR="00B9460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25501"/>
      <w:docPartObj>
        <w:docPartGallery w:val="Page Numbers (Bottom of Page)"/>
        <w:docPartUnique/>
      </w:docPartObj>
    </w:sdtPr>
    <w:sdtEndPr>
      <w:rPr>
        <w:noProof/>
      </w:rPr>
    </w:sdtEndPr>
    <w:sdtContent>
      <w:p w14:paraId="1A0E1F72" w14:textId="77777777" w:rsidR="007C63E8" w:rsidRDefault="007C6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90FB6" w14:textId="77777777" w:rsidR="007C63E8" w:rsidRDefault="007C63E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575F"/>
    <w:multiLevelType w:val="hybridMultilevel"/>
    <w:tmpl w:val="342015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8C02D09"/>
    <w:multiLevelType w:val="hybridMultilevel"/>
    <w:tmpl w:val="BAA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886210">
    <w:abstractNumId w:val="0"/>
  </w:num>
  <w:num w:numId="2" w16cid:durableId="51164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E8"/>
    <w:rsid w:val="001379AC"/>
    <w:rsid w:val="00141659"/>
    <w:rsid w:val="00266F37"/>
    <w:rsid w:val="00406D46"/>
    <w:rsid w:val="004E139B"/>
    <w:rsid w:val="004E47AE"/>
    <w:rsid w:val="007C63E8"/>
    <w:rsid w:val="00952802"/>
    <w:rsid w:val="009A68CA"/>
    <w:rsid w:val="00AF0C07"/>
    <w:rsid w:val="00B94603"/>
    <w:rsid w:val="00C33219"/>
    <w:rsid w:val="00D84DF9"/>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D40E"/>
  <w15:chartTrackingRefBased/>
  <w15:docId w15:val="{B40ADA13-6361-45BD-949D-4AFF93F5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E8"/>
    <w:pPr>
      <w:spacing w:after="0" w:line="240" w:lineRule="auto"/>
    </w:pPr>
    <w:rPr>
      <w:kern w:val="0"/>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uiPriority w:val="34"/>
    <w:qFormat/>
    <w:rsid w:val="007C63E8"/>
    <w:pPr>
      <w:ind w:left="720"/>
      <w:contextualSpacing/>
    </w:pPr>
  </w:style>
  <w:style w:type="paragraph" w:styleId="Footer">
    <w:name w:val="footer"/>
    <w:basedOn w:val="Normal"/>
    <w:link w:val="FooterChar"/>
    <w:uiPriority w:val="99"/>
    <w:unhideWhenUsed/>
    <w:rsid w:val="007C63E8"/>
    <w:pPr>
      <w:tabs>
        <w:tab w:val="center" w:pos="4513"/>
        <w:tab w:val="right" w:pos="9026"/>
      </w:tabs>
    </w:pPr>
  </w:style>
  <w:style w:type="character" w:customStyle="1" w:styleId="FooterChar">
    <w:name w:val="Footer Char"/>
    <w:basedOn w:val="DefaultParagraphFont"/>
    <w:link w:val="Footer"/>
    <w:uiPriority w:val="99"/>
    <w:rsid w:val="007C63E8"/>
    <w:rPr>
      <w:kern w:val="0"/>
    </w:rPr>
  </w:style>
  <w:style w:type="table" w:styleId="TableGrid">
    <w:name w:val="Table Grid"/>
    <w:basedOn w:val="TableNormal"/>
    <w:uiPriority w:val="59"/>
    <w:rsid w:val="007C63E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Company>Vale of Glamorgan Council</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Lindsay</dc:creator>
  <cp:keywords/>
  <dc:description/>
  <cp:lastModifiedBy>Christian, Lindsay</cp:lastModifiedBy>
  <cp:revision>1</cp:revision>
  <dcterms:created xsi:type="dcterms:W3CDTF">2024-01-26T11:53:00Z</dcterms:created>
  <dcterms:modified xsi:type="dcterms:W3CDTF">2024-01-26T11:56:00Z</dcterms:modified>
</cp:coreProperties>
</file>