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318" w:type="dxa"/>
        <w:tblLook w:val="01E0" w:firstRow="1" w:lastRow="1" w:firstColumn="1" w:lastColumn="1" w:noHBand="0" w:noVBand="0"/>
      </w:tblPr>
      <w:tblGrid>
        <w:gridCol w:w="6947"/>
        <w:gridCol w:w="2835"/>
      </w:tblGrid>
      <w:tr w:rsidR="00AB050D" w:rsidRPr="00EE3417" w:rsidTr="00FF7677">
        <w:tc>
          <w:tcPr>
            <w:tcW w:w="6947" w:type="dxa"/>
            <w:shd w:val="clear" w:color="auto" w:fill="auto"/>
          </w:tcPr>
          <w:p w:rsidR="00AB050D" w:rsidRPr="00EE3417" w:rsidRDefault="00AB050D" w:rsidP="00FF7677">
            <w:pPr>
              <w:pStyle w:val="Header"/>
              <w:rPr>
                <w:rFonts w:cs="Arial"/>
                <w:szCs w:val="24"/>
                <w:lang w:eastAsia="en-GB"/>
              </w:rPr>
            </w:pPr>
            <w:r w:rsidRPr="00EE3417">
              <w:rPr>
                <w:rFonts w:cs="Arial"/>
                <w:szCs w:val="24"/>
                <w:lang w:eastAsia="en-GB"/>
              </w:rPr>
              <w:t>MEMORANDUM / COFNOD</w:t>
            </w:r>
          </w:p>
          <w:p w:rsidR="00AB050D" w:rsidRPr="00EE3417" w:rsidRDefault="00AB050D" w:rsidP="00FF7677">
            <w:pPr>
              <w:pStyle w:val="Header"/>
              <w:rPr>
                <w:rFonts w:cs="Arial"/>
                <w:szCs w:val="24"/>
                <w:lang w:eastAsia="en-GB"/>
              </w:rPr>
            </w:pPr>
          </w:p>
          <w:p w:rsidR="00AB050D" w:rsidRPr="00EE3417" w:rsidRDefault="00AB050D" w:rsidP="00FF7677">
            <w:pPr>
              <w:pStyle w:val="Header"/>
              <w:rPr>
                <w:rFonts w:cs="Arial"/>
                <w:szCs w:val="24"/>
                <w:lang w:eastAsia="en-GB"/>
              </w:rPr>
            </w:pPr>
            <w:r w:rsidRPr="00EE3417">
              <w:rPr>
                <w:rFonts w:cs="Arial"/>
                <w:szCs w:val="24"/>
                <w:lang w:eastAsia="en-GB"/>
              </w:rPr>
              <w:t>The Vale of Glamorgan Council</w:t>
            </w:r>
          </w:p>
          <w:p w:rsidR="00AB050D" w:rsidRPr="00EE3417" w:rsidRDefault="00AB050D" w:rsidP="00FF7677">
            <w:pPr>
              <w:pStyle w:val="Header"/>
              <w:rPr>
                <w:rFonts w:cs="Arial"/>
                <w:szCs w:val="24"/>
                <w:lang w:eastAsia="en-GB"/>
              </w:rPr>
            </w:pPr>
            <w:r w:rsidRPr="00EE3417">
              <w:rPr>
                <w:rFonts w:cs="Arial"/>
                <w:szCs w:val="24"/>
                <w:lang w:eastAsia="en-GB"/>
              </w:rPr>
              <w:t>Development Services</w:t>
            </w:r>
          </w:p>
          <w:p w:rsidR="00AB050D" w:rsidRPr="00EE3417" w:rsidRDefault="00AB050D" w:rsidP="00FF7677">
            <w:pPr>
              <w:pStyle w:val="Header"/>
              <w:rPr>
                <w:rFonts w:cs="Arial"/>
                <w:szCs w:val="24"/>
                <w:lang w:eastAsia="en-GB"/>
              </w:rPr>
            </w:pPr>
            <w:r w:rsidRPr="00EE3417">
              <w:rPr>
                <w:rFonts w:cs="Arial"/>
                <w:szCs w:val="24"/>
                <w:lang w:eastAsia="en-GB"/>
              </w:rPr>
              <w:t>Dock Office, Barry Docks, Barry, CF63 4RT</w:t>
            </w:r>
          </w:p>
        </w:tc>
        <w:tc>
          <w:tcPr>
            <w:tcW w:w="2835" w:type="dxa"/>
            <w:shd w:val="clear" w:color="auto" w:fill="auto"/>
          </w:tcPr>
          <w:p w:rsidR="00AB050D" w:rsidRPr="00EE3417" w:rsidRDefault="00AB050D" w:rsidP="00FF7677">
            <w:pPr>
              <w:pStyle w:val="Header"/>
              <w:jc w:val="center"/>
              <w:rPr>
                <w:rFonts w:cs="Arial"/>
                <w:szCs w:val="24"/>
                <w:lang w:eastAsia="en-GB"/>
              </w:rPr>
            </w:pPr>
            <w:r w:rsidRPr="00EE3417">
              <w:rPr>
                <w:rFonts w:cs="Arial"/>
                <w:noProof/>
                <w:szCs w:val="24"/>
                <w:lang w:eastAsia="en-GB"/>
              </w:rPr>
              <w:drawing>
                <wp:inline distT="0" distB="0" distL="0" distR="0" wp14:anchorId="3A68FC75" wp14:editId="68A9F768">
                  <wp:extent cx="1089025" cy="10020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9025" cy="1002030"/>
                          </a:xfrm>
                          <a:prstGeom prst="rect">
                            <a:avLst/>
                          </a:prstGeom>
                          <a:noFill/>
                          <a:ln>
                            <a:noFill/>
                          </a:ln>
                        </pic:spPr>
                      </pic:pic>
                    </a:graphicData>
                  </a:graphic>
                </wp:inline>
              </w:drawing>
            </w:r>
          </w:p>
        </w:tc>
      </w:tr>
    </w:tbl>
    <w:p w:rsidR="00AB050D" w:rsidRPr="00EE3417" w:rsidRDefault="00AB050D" w:rsidP="00AB050D">
      <w:pPr>
        <w:rPr>
          <w:rFonts w:cs="Arial"/>
          <w:szCs w:val="24"/>
        </w:rPr>
      </w:pPr>
    </w:p>
    <w:tbl>
      <w:tblPr>
        <w:tblW w:w="9958" w:type="dxa"/>
        <w:jc w:val="center"/>
        <w:tblInd w:w="35" w:type="dxa"/>
        <w:tblLayout w:type="fixed"/>
        <w:tblCellMar>
          <w:left w:w="107" w:type="dxa"/>
          <w:right w:w="107" w:type="dxa"/>
        </w:tblCellMar>
        <w:tblLook w:val="0000" w:firstRow="0" w:lastRow="0" w:firstColumn="0" w:lastColumn="0" w:noHBand="0" w:noVBand="0"/>
      </w:tblPr>
      <w:tblGrid>
        <w:gridCol w:w="1790"/>
        <w:gridCol w:w="3065"/>
        <w:gridCol w:w="234"/>
        <w:gridCol w:w="1662"/>
        <w:gridCol w:w="3207"/>
      </w:tblGrid>
      <w:tr w:rsidR="00AB050D" w:rsidRPr="00EE3417" w:rsidTr="00FF7677">
        <w:trPr>
          <w:jc w:val="center"/>
        </w:trPr>
        <w:tc>
          <w:tcPr>
            <w:tcW w:w="1790" w:type="dxa"/>
            <w:tcBorders>
              <w:top w:val="single" w:sz="6" w:space="0" w:color="auto"/>
              <w:left w:val="single" w:sz="6" w:space="0" w:color="auto"/>
            </w:tcBorders>
          </w:tcPr>
          <w:p w:rsidR="00AB050D" w:rsidRPr="00EE3417" w:rsidRDefault="00AB050D" w:rsidP="00FF7677">
            <w:pPr>
              <w:rPr>
                <w:rFonts w:cs="Arial"/>
                <w:szCs w:val="24"/>
              </w:rPr>
            </w:pPr>
            <w:r w:rsidRPr="00EE3417">
              <w:rPr>
                <w:rFonts w:cs="Arial"/>
                <w:szCs w:val="24"/>
              </w:rPr>
              <w:t>To / I:</w:t>
            </w:r>
          </w:p>
        </w:tc>
        <w:tc>
          <w:tcPr>
            <w:tcW w:w="3065" w:type="dxa"/>
            <w:tcBorders>
              <w:top w:val="single" w:sz="6" w:space="0" w:color="auto"/>
              <w:right w:val="single" w:sz="6" w:space="0" w:color="auto"/>
            </w:tcBorders>
          </w:tcPr>
          <w:p w:rsidR="00AB050D" w:rsidRPr="00EE3417" w:rsidRDefault="0023245E" w:rsidP="00FF7677">
            <w:pPr>
              <w:rPr>
                <w:rFonts w:cs="Arial"/>
                <w:szCs w:val="24"/>
              </w:rPr>
            </w:pPr>
            <w:r>
              <w:rPr>
                <w:rFonts w:cs="Arial"/>
                <w:szCs w:val="24"/>
              </w:rPr>
              <w:t>Yvonne Prichard</w:t>
            </w:r>
          </w:p>
        </w:tc>
        <w:tc>
          <w:tcPr>
            <w:tcW w:w="234" w:type="dxa"/>
            <w:tcBorders>
              <w:left w:val="nil"/>
            </w:tcBorders>
          </w:tcPr>
          <w:p w:rsidR="00AB050D" w:rsidRPr="00EE3417" w:rsidRDefault="00AB050D" w:rsidP="00FF7677">
            <w:pPr>
              <w:rPr>
                <w:rFonts w:cs="Arial"/>
                <w:szCs w:val="24"/>
              </w:rPr>
            </w:pPr>
          </w:p>
        </w:tc>
        <w:tc>
          <w:tcPr>
            <w:tcW w:w="1662" w:type="dxa"/>
            <w:tcBorders>
              <w:top w:val="single" w:sz="6" w:space="0" w:color="auto"/>
              <w:left w:val="single" w:sz="6" w:space="0" w:color="auto"/>
            </w:tcBorders>
          </w:tcPr>
          <w:p w:rsidR="00AB050D" w:rsidRPr="00EE3417" w:rsidRDefault="00AB050D" w:rsidP="00FF7677">
            <w:pPr>
              <w:rPr>
                <w:rFonts w:cs="Arial"/>
                <w:szCs w:val="24"/>
              </w:rPr>
            </w:pPr>
            <w:r w:rsidRPr="00EE3417">
              <w:rPr>
                <w:rFonts w:cs="Arial"/>
                <w:szCs w:val="24"/>
              </w:rPr>
              <w:t xml:space="preserve">From / </w:t>
            </w:r>
            <w:proofErr w:type="spellStart"/>
            <w:r w:rsidRPr="00EE3417">
              <w:rPr>
                <w:rFonts w:cs="Arial"/>
                <w:szCs w:val="24"/>
              </w:rPr>
              <w:t>Oddi</w:t>
            </w:r>
            <w:proofErr w:type="spellEnd"/>
            <w:r w:rsidRPr="00EE3417">
              <w:rPr>
                <w:rFonts w:cs="Arial"/>
                <w:szCs w:val="24"/>
              </w:rPr>
              <w:t xml:space="preserve"> </w:t>
            </w:r>
            <w:proofErr w:type="spellStart"/>
            <w:r w:rsidRPr="00EE3417">
              <w:rPr>
                <w:rFonts w:cs="Arial"/>
                <w:szCs w:val="24"/>
              </w:rPr>
              <w:t>Wrth</w:t>
            </w:r>
            <w:proofErr w:type="spellEnd"/>
            <w:r w:rsidRPr="00EE3417">
              <w:rPr>
                <w:rFonts w:cs="Arial"/>
                <w:szCs w:val="24"/>
              </w:rPr>
              <w:t>:</w:t>
            </w:r>
          </w:p>
        </w:tc>
        <w:tc>
          <w:tcPr>
            <w:tcW w:w="3207" w:type="dxa"/>
            <w:tcBorders>
              <w:top w:val="single" w:sz="6" w:space="0" w:color="auto"/>
              <w:right w:val="single" w:sz="6" w:space="0" w:color="auto"/>
            </w:tcBorders>
          </w:tcPr>
          <w:p w:rsidR="00AB050D" w:rsidRPr="00EE3417" w:rsidRDefault="00AB050D" w:rsidP="00FF7677">
            <w:pPr>
              <w:rPr>
                <w:rFonts w:cs="Arial"/>
                <w:szCs w:val="24"/>
              </w:rPr>
            </w:pPr>
            <w:r w:rsidRPr="00EE3417">
              <w:rPr>
                <w:rFonts w:cs="Arial"/>
                <w:szCs w:val="24"/>
              </w:rPr>
              <w:t>Conservation and Design</w:t>
            </w:r>
          </w:p>
          <w:p w:rsidR="00AB050D" w:rsidRPr="00EE3417" w:rsidRDefault="00AB050D" w:rsidP="00FF7677">
            <w:pPr>
              <w:rPr>
                <w:rFonts w:cs="Arial"/>
                <w:szCs w:val="24"/>
              </w:rPr>
            </w:pPr>
          </w:p>
        </w:tc>
      </w:tr>
      <w:tr w:rsidR="00AB050D" w:rsidRPr="00EE3417" w:rsidTr="00FF7677">
        <w:trPr>
          <w:jc w:val="center"/>
        </w:trPr>
        <w:tc>
          <w:tcPr>
            <w:tcW w:w="1790" w:type="dxa"/>
            <w:tcBorders>
              <w:left w:val="single" w:sz="6" w:space="0" w:color="auto"/>
            </w:tcBorders>
          </w:tcPr>
          <w:p w:rsidR="00AB050D" w:rsidRPr="00EE3417" w:rsidRDefault="00AB050D" w:rsidP="00FF7677">
            <w:pPr>
              <w:rPr>
                <w:rFonts w:cs="Arial"/>
                <w:szCs w:val="24"/>
              </w:rPr>
            </w:pPr>
            <w:proofErr w:type="spellStart"/>
            <w:r w:rsidRPr="00EE3417">
              <w:rPr>
                <w:rFonts w:cs="Arial"/>
                <w:szCs w:val="24"/>
              </w:rPr>
              <w:t>Dept</w:t>
            </w:r>
            <w:proofErr w:type="spellEnd"/>
            <w:r w:rsidRPr="00EE3417">
              <w:rPr>
                <w:rFonts w:cs="Arial"/>
                <w:szCs w:val="24"/>
              </w:rPr>
              <w:t xml:space="preserve"> / </w:t>
            </w:r>
            <w:proofErr w:type="spellStart"/>
            <w:r w:rsidRPr="00EE3417">
              <w:rPr>
                <w:rFonts w:cs="Arial"/>
                <w:szCs w:val="24"/>
              </w:rPr>
              <w:t>Adran</w:t>
            </w:r>
            <w:proofErr w:type="spellEnd"/>
            <w:r w:rsidRPr="00EE3417">
              <w:rPr>
                <w:rFonts w:cs="Arial"/>
                <w:szCs w:val="24"/>
              </w:rPr>
              <w:t>:</w:t>
            </w:r>
          </w:p>
        </w:tc>
        <w:tc>
          <w:tcPr>
            <w:tcW w:w="3065" w:type="dxa"/>
            <w:tcBorders>
              <w:right w:val="single" w:sz="6" w:space="0" w:color="auto"/>
            </w:tcBorders>
          </w:tcPr>
          <w:p w:rsidR="00AB050D" w:rsidRPr="00EE3417" w:rsidRDefault="00AB050D" w:rsidP="00FF7677">
            <w:pPr>
              <w:rPr>
                <w:rFonts w:cs="Arial"/>
                <w:szCs w:val="24"/>
              </w:rPr>
            </w:pPr>
            <w:r w:rsidRPr="00EE3417">
              <w:rPr>
                <w:rFonts w:cs="Arial"/>
                <w:szCs w:val="24"/>
              </w:rPr>
              <w:t>Development Management</w:t>
            </w:r>
          </w:p>
        </w:tc>
        <w:tc>
          <w:tcPr>
            <w:tcW w:w="234" w:type="dxa"/>
            <w:tcBorders>
              <w:left w:val="nil"/>
            </w:tcBorders>
          </w:tcPr>
          <w:p w:rsidR="00AB050D" w:rsidRPr="00EE3417" w:rsidRDefault="00AB050D" w:rsidP="00FF7677">
            <w:pPr>
              <w:rPr>
                <w:rFonts w:cs="Arial"/>
                <w:szCs w:val="24"/>
              </w:rPr>
            </w:pPr>
          </w:p>
        </w:tc>
        <w:tc>
          <w:tcPr>
            <w:tcW w:w="1662" w:type="dxa"/>
            <w:tcBorders>
              <w:left w:val="single" w:sz="6" w:space="0" w:color="auto"/>
            </w:tcBorders>
          </w:tcPr>
          <w:p w:rsidR="00AB050D" w:rsidRPr="00EE3417" w:rsidRDefault="00AB050D" w:rsidP="00FF7677">
            <w:pPr>
              <w:rPr>
                <w:rFonts w:cs="Arial"/>
                <w:szCs w:val="24"/>
              </w:rPr>
            </w:pPr>
          </w:p>
        </w:tc>
        <w:tc>
          <w:tcPr>
            <w:tcW w:w="3207" w:type="dxa"/>
            <w:tcBorders>
              <w:right w:val="single" w:sz="6" w:space="0" w:color="auto"/>
            </w:tcBorders>
          </w:tcPr>
          <w:p w:rsidR="00AB050D" w:rsidRPr="00EE3417" w:rsidRDefault="00AB050D" w:rsidP="00FF7677">
            <w:pPr>
              <w:rPr>
                <w:rFonts w:cs="Arial"/>
                <w:szCs w:val="24"/>
              </w:rPr>
            </w:pPr>
          </w:p>
        </w:tc>
      </w:tr>
      <w:tr w:rsidR="00AB050D" w:rsidRPr="00EE3417" w:rsidTr="00FF7677">
        <w:trPr>
          <w:jc w:val="center"/>
        </w:trPr>
        <w:tc>
          <w:tcPr>
            <w:tcW w:w="1790" w:type="dxa"/>
            <w:tcBorders>
              <w:left w:val="single" w:sz="6" w:space="0" w:color="auto"/>
            </w:tcBorders>
          </w:tcPr>
          <w:p w:rsidR="00AB050D" w:rsidRPr="00EE3417" w:rsidRDefault="00AB050D" w:rsidP="00FF7677">
            <w:pPr>
              <w:rPr>
                <w:rFonts w:cs="Arial"/>
                <w:szCs w:val="24"/>
              </w:rPr>
            </w:pPr>
          </w:p>
        </w:tc>
        <w:tc>
          <w:tcPr>
            <w:tcW w:w="3065" w:type="dxa"/>
            <w:tcBorders>
              <w:right w:val="single" w:sz="6" w:space="0" w:color="auto"/>
            </w:tcBorders>
          </w:tcPr>
          <w:p w:rsidR="00AB050D" w:rsidRPr="00EE3417" w:rsidRDefault="00AB050D" w:rsidP="00FF7677">
            <w:pPr>
              <w:rPr>
                <w:rFonts w:cs="Arial"/>
                <w:szCs w:val="24"/>
              </w:rPr>
            </w:pPr>
          </w:p>
        </w:tc>
        <w:tc>
          <w:tcPr>
            <w:tcW w:w="234" w:type="dxa"/>
            <w:tcBorders>
              <w:left w:val="nil"/>
            </w:tcBorders>
          </w:tcPr>
          <w:p w:rsidR="00AB050D" w:rsidRPr="00EE3417" w:rsidRDefault="00AB050D" w:rsidP="00FF7677">
            <w:pPr>
              <w:rPr>
                <w:rFonts w:cs="Arial"/>
                <w:szCs w:val="24"/>
              </w:rPr>
            </w:pPr>
          </w:p>
        </w:tc>
        <w:tc>
          <w:tcPr>
            <w:tcW w:w="1662" w:type="dxa"/>
            <w:tcBorders>
              <w:left w:val="single" w:sz="6" w:space="0" w:color="auto"/>
            </w:tcBorders>
          </w:tcPr>
          <w:p w:rsidR="00AB050D" w:rsidRPr="00EE3417" w:rsidRDefault="00AB050D" w:rsidP="00FF7677">
            <w:pPr>
              <w:rPr>
                <w:rFonts w:cs="Arial"/>
                <w:szCs w:val="24"/>
              </w:rPr>
            </w:pPr>
            <w:r w:rsidRPr="00EE3417">
              <w:rPr>
                <w:rFonts w:cs="Arial"/>
                <w:szCs w:val="24"/>
              </w:rPr>
              <w:t xml:space="preserve">My Ref / </w:t>
            </w:r>
            <w:proofErr w:type="spellStart"/>
            <w:r w:rsidRPr="00EE3417">
              <w:rPr>
                <w:rFonts w:cs="Arial"/>
                <w:szCs w:val="24"/>
              </w:rPr>
              <w:t>Fy</w:t>
            </w:r>
            <w:proofErr w:type="spellEnd"/>
            <w:r w:rsidRPr="00EE3417">
              <w:rPr>
                <w:rFonts w:cs="Arial"/>
                <w:szCs w:val="24"/>
              </w:rPr>
              <w:t xml:space="preserve"> </w:t>
            </w:r>
            <w:proofErr w:type="spellStart"/>
            <w:r w:rsidRPr="00EE3417">
              <w:rPr>
                <w:rFonts w:cs="Arial"/>
                <w:szCs w:val="24"/>
              </w:rPr>
              <w:t>Cyf</w:t>
            </w:r>
            <w:proofErr w:type="spellEnd"/>
            <w:r w:rsidRPr="00EE3417">
              <w:rPr>
                <w:rFonts w:cs="Arial"/>
                <w:szCs w:val="24"/>
              </w:rPr>
              <w:t>:</w:t>
            </w:r>
          </w:p>
        </w:tc>
        <w:tc>
          <w:tcPr>
            <w:tcW w:w="3207" w:type="dxa"/>
            <w:tcBorders>
              <w:right w:val="single" w:sz="6" w:space="0" w:color="auto"/>
            </w:tcBorders>
          </w:tcPr>
          <w:p w:rsidR="00AB050D" w:rsidRPr="00EE3417" w:rsidRDefault="00AB050D" w:rsidP="00FF7677">
            <w:pPr>
              <w:rPr>
                <w:rFonts w:cs="Arial"/>
                <w:szCs w:val="24"/>
              </w:rPr>
            </w:pPr>
          </w:p>
        </w:tc>
      </w:tr>
      <w:tr w:rsidR="00AB050D" w:rsidRPr="00EE3417" w:rsidTr="00FF7677">
        <w:trPr>
          <w:jc w:val="center"/>
        </w:trPr>
        <w:tc>
          <w:tcPr>
            <w:tcW w:w="1790" w:type="dxa"/>
            <w:tcBorders>
              <w:left w:val="single" w:sz="6" w:space="0" w:color="auto"/>
            </w:tcBorders>
          </w:tcPr>
          <w:p w:rsidR="00AB050D" w:rsidRPr="00EE3417" w:rsidRDefault="00AB050D" w:rsidP="00FF7677">
            <w:pPr>
              <w:rPr>
                <w:rFonts w:cs="Arial"/>
                <w:szCs w:val="24"/>
              </w:rPr>
            </w:pPr>
            <w:r w:rsidRPr="00EE3417">
              <w:rPr>
                <w:rFonts w:cs="Arial"/>
                <w:szCs w:val="24"/>
              </w:rPr>
              <w:t xml:space="preserve">Date / </w:t>
            </w:r>
            <w:proofErr w:type="spellStart"/>
            <w:r w:rsidRPr="00EE3417">
              <w:rPr>
                <w:rFonts w:cs="Arial"/>
                <w:szCs w:val="24"/>
              </w:rPr>
              <w:t>Dyddiad</w:t>
            </w:r>
            <w:proofErr w:type="spellEnd"/>
            <w:r w:rsidRPr="00EE3417">
              <w:rPr>
                <w:rFonts w:cs="Arial"/>
                <w:szCs w:val="24"/>
              </w:rPr>
              <w:t>:</w:t>
            </w:r>
          </w:p>
        </w:tc>
        <w:tc>
          <w:tcPr>
            <w:tcW w:w="3065" w:type="dxa"/>
            <w:tcBorders>
              <w:right w:val="single" w:sz="6" w:space="0" w:color="auto"/>
            </w:tcBorders>
          </w:tcPr>
          <w:p w:rsidR="00AB050D" w:rsidRPr="00EE3417" w:rsidRDefault="00AD35EF" w:rsidP="00FF7677">
            <w:pPr>
              <w:rPr>
                <w:rFonts w:cs="Arial"/>
                <w:szCs w:val="24"/>
              </w:rPr>
            </w:pPr>
            <w:r w:rsidRPr="00EE3417">
              <w:rPr>
                <w:rFonts w:cs="Arial"/>
                <w:szCs w:val="24"/>
              </w:rPr>
              <w:t>22 March 2017</w:t>
            </w:r>
          </w:p>
        </w:tc>
        <w:tc>
          <w:tcPr>
            <w:tcW w:w="234" w:type="dxa"/>
            <w:tcBorders>
              <w:left w:val="nil"/>
            </w:tcBorders>
          </w:tcPr>
          <w:p w:rsidR="00AB050D" w:rsidRPr="00EE3417" w:rsidRDefault="00AB050D" w:rsidP="00FF7677">
            <w:pPr>
              <w:rPr>
                <w:rFonts w:cs="Arial"/>
                <w:szCs w:val="24"/>
              </w:rPr>
            </w:pPr>
          </w:p>
        </w:tc>
        <w:tc>
          <w:tcPr>
            <w:tcW w:w="1662" w:type="dxa"/>
            <w:tcBorders>
              <w:left w:val="single" w:sz="6" w:space="0" w:color="auto"/>
            </w:tcBorders>
          </w:tcPr>
          <w:p w:rsidR="00AB050D" w:rsidRPr="00EE3417" w:rsidRDefault="00AB050D" w:rsidP="00FF7677">
            <w:pPr>
              <w:rPr>
                <w:rFonts w:cs="Arial"/>
                <w:szCs w:val="24"/>
              </w:rPr>
            </w:pPr>
            <w:r w:rsidRPr="00EE3417">
              <w:rPr>
                <w:rFonts w:cs="Arial"/>
                <w:szCs w:val="24"/>
              </w:rPr>
              <w:t xml:space="preserve">Tel / </w:t>
            </w:r>
            <w:proofErr w:type="spellStart"/>
            <w:r w:rsidRPr="00EE3417">
              <w:rPr>
                <w:rFonts w:cs="Arial"/>
                <w:szCs w:val="24"/>
              </w:rPr>
              <w:t>Ffôn</w:t>
            </w:r>
            <w:proofErr w:type="spellEnd"/>
            <w:r w:rsidRPr="00EE3417">
              <w:rPr>
                <w:rFonts w:cs="Arial"/>
                <w:szCs w:val="24"/>
              </w:rPr>
              <w:t>:</w:t>
            </w:r>
          </w:p>
        </w:tc>
        <w:tc>
          <w:tcPr>
            <w:tcW w:w="3207" w:type="dxa"/>
            <w:tcBorders>
              <w:right w:val="single" w:sz="6" w:space="0" w:color="auto"/>
            </w:tcBorders>
          </w:tcPr>
          <w:p w:rsidR="00AB050D" w:rsidRPr="00EE3417" w:rsidRDefault="00AB050D" w:rsidP="00FF7677">
            <w:pPr>
              <w:rPr>
                <w:rFonts w:cs="Arial"/>
                <w:szCs w:val="24"/>
              </w:rPr>
            </w:pPr>
            <w:r w:rsidRPr="00EE3417">
              <w:rPr>
                <w:rFonts w:cs="Arial"/>
                <w:szCs w:val="24"/>
              </w:rPr>
              <w:t>(01446) 704628</w:t>
            </w:r>
          </w:p>
        </w:tc>
      </w:tr>
      <w:tr w:rsidR="00AB050D" w:rsidRPr="00EE3417" w:rsidTr="00FF7677">
        <w:trPr>
          <w:jc w:val="center"/>
        </w:trPr>
        <w:tc>
          <w:tcPr>
            <w:tcW w:w="1790" w:type="dxa"/>
            <w:tcBorders>
              <w:left w:val="single" w:sz="6" w:space="0" w:color="auto"/>
              <w:bottom w:val="single" w:sz="6" w:space="0" w:color="auto"/>
            </w:tcBorders>
          </w:tcPr>
          <w:p w:rsidR="00AB050D" w:rsidRPr="00EE3417" w:rsidRDefault="00AB050D" w:rsidP="00FF7677">
            <w:pPr>
              <w:rPr>
                <w:rFonts w:cs="Arial"/>
                <w:szCs w:val="24"/>
              </w:rPr>
            </w:pPr>
            <w:r w:rsidRPr="00EE3417">
              <w:rPr>
                <w:rFonts w:cs="Arial"/>
                <w:szCs w:val="24"/>
              </w:rPr>
              <w:t xml:space="preserve">Your Ref / </w:t>
            </w:r>
            <w:proofErr w:type="spellStart"/>
            <w:r w:rsidRPr="00EE3417">
              <w:rPr>
                <w:rFonts w:cs="Arial"/>
                <w:szCs w:val="24"/>
              </w:rPr>
              <w:t>Eich</w:t>
            </w:r>
            <w:proofErr w:type="spellEnd"/>
            <w:r w:rsidRPr="00EE3417">
              <w:rPr>
                <w:rFonts w:cs="Arial"/>
                <w:szCs w:val="24"/>
              </w:rPr>
              <w:t xml:space="preserve"> </w:t>
            </w:r>
            <w:proofErr w:type="spellStart"/>
            <w:r w:rsidRPr="00EE3417">
              <w:rPr>
                <w:rFonts w:cs="Arial"/>
                <w:szCs w:val="24"/>
              </w:rPr>
              <w:t>Cyf</w:t>
            </w:r>
            <w:proofErr w:type="spellEnd"/>
            <w:r w:rsidRPr="00EE3417">
              <w:rPr>
                <w:rFonts w:cs="Arial"/>
                <w:szCs w:val="24"/>
              </w:rPr>
              <w:t>:</w:t>
            </w:r>
          </w:p>
        </w:tc>
        <w:tc>
          <w:tcPr>
            <w:tcW w:w="3065" w:type="dxa"/>
            <w:tcBorders>
              <w:bottom w:val="single" w:sz="6" w:space="0" w:color="auto"/>
              <w:right w:val="single" w:sz="6" w:space="0" w:color="auto"/>
            </w:tcBorders>
          </w:tcPr>
          <w:p w:rsidR="00AB050D" w:rsidRPr="00EE3417" w:rsidRDefault="0023245E" w:rsidP="00FF7677">
            <w:pPr>
              <w:rPr>
                <w:rFonts w:cs="Arial"/>
                <w:szCs w:val="24"/>
              </w:rPr>
            </w:pPr>
            <w:r>
              <w:t>2017/00112</w:t>
            </w:r>
            <w:r w:rsidR="00AD35EF" w:rsidRPr="00EE3417">
              <w:t>/FUL</w:t>
            </w:r>
          </w:p>
        </w:tc>
        <w:tc>
          <w:tcPr>
            <w:tcW w:w="234" w:type="dxa"/>
            <w:tcBorders>
              <w:left w:val="nil"/>
            </w:tcBorders>
          </w:tcPr>
          <w:p w:rsidR="00AB050D" w:rsidRPr="00EE3417" w:rsidRDefault="00AB050D" w:rsidP="00FF7677">
            <w:pPr>
              <w:rPr>
                <w:rFonts w:cs="Arial"/>
                <w:szCs w:val="24"/>
              </w:rPr>
            </w:pPr>
          </w:p>
        </w:tc>
        <w:tc>
          <w:tcPr>
            <w:tcW w:w="1662" w:type="dxa"/>
            <w:tcBorders>
              <w:left w:val="single" w:sz="6" w:space="0" w:color="auto"/>
              <w:bottom w:val="single" w:sz="6" w:space="0" w:color="auto"/>
            </w:tcBorders>
          </w:tcPr>
          <w:p w:rsidR="00AB050D" w:rsidRPr="00EE3417" w:rsidRDefault="00AB050D" w:rsidP="00FF7677">
            <w:pPr>
              <w:rPr>
                <w:rFonts w:cs="Arial"/>
                <w:szCs w:val="24"/>
              </w:rPr>
            </w:pPr>
            <w:r w:rsidRPr="00EE3417">
              <w:rPr>
                <w:rFonts w:cs="Arial"/>
                <w:szCs w:val="24"/>
              </w:rPr>
              <w:t xml:space="preserve">Fax / </w:t>
            </w:r>
            <w:proofErr w:type="spellStart"/>
            <w:r w:rsidRPr="00EE3417">
              <w:rPr>
                <w:rFonts w:cs="Arial"/>
                <w:szCs w:val="24"/>
              </w:rPr>
              <w:t>Ffacs</w:t>
            </w:r>
            <w:proofErr w:type="spellEnd"/>
            <w:r w:rsidRPr="00EE3417">
              <w:rPr>
                <w:rFonts w:cs="Arial"/>
                <w:szCs w:val="24"/>
              </w:rPr>
              <w:t>:</w:t>
            </w:r>
          </w:p>
        </w:tc>
        <w:tc>
          <w:tcPr>
            <w:tcW w:w="3207" w:type="dxa"/>
            <w:tcBorders>
              <w:bottom w:val="single" w:sz="6" w:space="0" w:color="auto"/>
              <w:right w:val="single" w:sz="6" w:space="0" w:color="auto"/>
            </w:tcBorders>
          </w:tcPr>
          <w:p w:rsidR="00AB050D" w:rsidRPr="00EE3417" w:rsidRDefault="00AB050D" w:rsidP="00FF7677">
            <w:pPr>
              <w:rPr>
                <w:rFonts w:cs="Arial"/>
                <w:szCs w:val="24"/>
              </w:rPr>
            </w:pPr>
            <w:r w:rsidRPr="00EE3417">
              <w:rPr>
                <w:rFonts w:cs="Arial"/>
                <w:szCs w:val="24"/>
              </w:rPr>
              <w:t>(01446) 421392</w:t>
            </w:r>
          </w:p>
        </w:tc>
      </w:tr>
    </w:tbl>
    <w:p w:rsidR="00AB050D" w:rsidRPr="00EE3417" w:rsidRDefault="00AB050D" w:rsidP="00AB050D">
      <w:pPr>
        <w:rPr>
          <w:rFonts w:cs="Arial"/>
          <w:vanish/>
          <w:szCs w:val="24"/>
        </w:rPr>
      </w:pPr>
    </w:p>
    <w:p w:rsidR="0023245E" w:rsidRDefault="00AB050D" w:rsidP="0023245E">
      <w:pPr>
        <w:tabs>
          <w:tab w:val="left" w:pos="2302"/>
        </w:tabs>
        <w:ind w:left="459"/>
        <w:rPr>
          <w:b/>
        </w:rPr>
      </w:pPr>
      <w:r w:rsidRPr="00EE3417">
        <w:rPr>
          <w:rFonts w:cs="Arial"/>
          <w:szCs w:val="24"/>
          <w:lang w:eastAsia="en-GB"/>
        </w:rPr>
        <w:t xml:space="preserve">Subject / </w:t>
      </w:r>
      <w:proofErr w:type="spellStart"/>
      <w:r w:rsidRPr="00EE3417">
        <w:rPr>
          <w:rFonts w:cs="Arial"/>
          <w:szCs w:val="24"/>
          <w:lang w:eastAsia="en-GB"/>
        </w:rPr>
        <w:t>Testyn</w:t>
      </w:r>
      <w:proofErr w:type="spellEnd"/>
      <w:r w:rsidRPr="00EE3417">
        <w:rPr>
          <w:rFonts w:cs="Arial"/>
          <w:szCs w:val="24"/>
          <w:lang w:eastAsia="en-GB"/>
        </w:rPr>
        <w:t>:</w:t>
      </w:r>
      <w:r w:rsidRPr="00EE3417">
        <w:rPr>
          <w:rFonts w:cs="Arial"/>
          <w:szCs w:val="24"/>
          <w:lang w:eastAsia="en-GB"/>
        </w:rPr>
        <w:tab/>
      </w:r>
      <w:r w:rsidRPr="00EE3417">
        <w:rPr>
          <w:rFonts w:cs="Arial"/>
          <w:b/>
          <w:szCs w:val="24"/>
          <w:lang w:eastAsia="en-GB"/>
        </w:rPr>
        <w:t xml:space="preserve">Planning Application </w:t>
      </w:r>
      <w:r w:rsidR="00AD35EF" w:rsidRPr="00EE3417">
        <w:rPr>
          <w:b/>
        </w:rPr>
        <w:t xml:space="preserve">No. </w:t>
      </w:r>
      <w:r w:rsidR="0023245E">
        <w:rPr>
          <w:b/>
        </w:rPr>
        <w:t>2017/00112/FUL (YP)</w:t>
      </w:r>
    </w:p>
    <w:p w:rsidR="0023245E" w:rsidRDefault="0023245E" w:rsidP="0023245E">
      <w:pPr>
        <w:tabs>
          <w:tab w:val="left" w:pos="2302"/>
        </w:tabs>
        <w:ind w:left="2302" w:hanging="1843"/>
        <w:rPr>
          <w:b/>
        </w:rPr>
      </w:pPr>
      <w:r>
        <w:rPr>
          <w:b/>
        </w:rPr>
        <w:tab/>
      </w:r>
      <w:proofErr w:type="gramStart"/>
      <w:r>
        <w:rPr>
          <w:b/>
        </w:rPr>
        <w:t>Location :</w:t>
      </w:r>
      <w:proofErr w:type="gramEnd"/>
      <w:r>
        <w:rPr>
          <w:b/>
        </w:rPr>
        <w:t xml:space="preserve"> 8, Cliff Parade, Penarth</w:t>
      </w:r>
    </w:p>
    <w:p w:rsidR="0023245E" w:rsidRDefault="0023245E" w:rsidP="0023245E">
      <w:pPr>
        <w:tabs>
          <w:tab w:val="left" w:pos="2302"/>
        </w:tabs>
        <w:ind w:left="2302" w:hanging="1843"/>
        <w:rPr>
          <w:b/>
          <w:u w:val="single"/>
        </w:rPr>
      </w:pPr>
      <w:r>
        <w:rPr>
          <w:b/>
        </w:rPr>
        <w:tab/>
      </w:r>
      <w:proofErr w:type="gramStart"/>
      <w:r>
        <w:rPr>
          <w:b/>
          <w:u w:val="single"/>
        </w:rPr>
        <w:t>Proposal :</w:t>
      </w:r>
      <w:proofErr w:type="gramEnd"/>
      <w:r>
        <w:rPr>
          <w:b/>
          <w:u w:val="single"/>
        </w:rPr>
        <w:t xml:space="preserve"> Replacement dwelling and garage</w:t>
      </w:r>
    </w:p>
    <w:p w:rsidR="00AB050D" w:rsidRPr="00EE3417" w:rsidRDefault="00AB050D" w:rsidP="0023245E">
      <w:pPr>
        <w:tabs>
          <w:tab w:val="left" w:pos="2302"/>
        </w:tabs>
        <w:ind w:left="459"/>
        <w:rPr>
          <w:rFonts w:cs="Arial"/>
          <w:b/>
          <w:szCs w:val="24"/>
          <w:u w:val="single"/>
        </w:rPr>
      </w:pPr>
    </w:p>
    <w:p w:rsidR="00AB050D" w:rsidRPr="00EE3417" w:rsidRDefault="00AB050D" w:rsidP="00AB050D">
      <w:pPr>
        <w:tabs>
          <w:tab w:val="left" w:pos="2302"/>
        </w:tabs>
        <w:ind w:left="2295" w:hanging="2295"/>
        <w:rPr>
          <w:rFonts w:cs="Arial"/>
          <w:b/>
          <w:szCs w:val="24"/>
          <w:u w:val="single"/>
        </w:rPr>
      </w:pPr>
      <w:r w:rsidRPr="00EE3417">
        <w:rPr>
          <w:rFonts w:cs="Arial"/>
          <w:b/>
          <w:szCs w:val="24"/>
          <w:u w:val="single"/>
        </w:rPr>
        <w:t>NO OBJECTION</w:t>
      </w:r>
    </w:p>
    <w:p w:rsidR="00AB050D" w:rsidRPr="00EE3417" w:rsidRDefault="00AB050D" w:rsidP="00AB050D">
      <w:pPr>
        <w:tabs>
          <w:tab w:val="left" w:pos="2302"/>
        </w:tabs>
        <w:ind w:left="2295" w:hanging="2295"/>
        <w:rPr>
          <w:rFonts w:cs="Arial"/>
          <w:szCs w:val="24"/>
          <w:u w:val="single"/>
        </w:rPr>
      </w:pPr>
      <w:r w:rsidRPr="00EE3417">
        <w:rPr>
          <w:rFonts w:cs="Arial"/>
          <w:b/>
          <w:szCs w:val="24"/>
        </w:rPr>
        <w:t xml:space="preserve"> </w:t>
      </w:r>
    </w:p>
    <w:p w:rsidR="0023245E" w:rsidRPr="00590812" w:rsidRDefault="0023245E" w:rsidP="0023245E">
      <w:pPr>
        <w:autoSpaceDE w:val="0"/>
        <w:autoSpaceDN w:val="0"/>
        <w:adjustRightInd w:val="0"/>
        <w:jc w:val="both"/>
        <w:rPr>
          <w:rFonts w:cs="Arial"/>
          <w:b/>
          <w:szCs w:val="24"/>
        </w:rPr>
      </w:pPr>
      <w:r w:rsidRPr="00590812">
        <w:rPr>
          <w:rFonts w:cs="Arial"/>
          <w:b/>
          <w:szCs w:val="24"/>
        </w:rPr>
        <w:t>LEGISLATION AND POLICY</w:t>
      </w:r>
    </w:p>
    <w:p w:rsidR="0023245E" w:rsidRPr="00590812" w:rsidRDefault="0023245E" w:rsidP="0023245E">
      <w:pPr>
        <w:autoSpaceDE w:val="0"/>
        <w:autoSpaceDN w:val="0"/>
        <w:adjustRightInd w:val="0"/>
        <w:jc w:val="both"/>
        <w:rPr>
          <w:rFonts w:cs="Arial"/>
          <w:szCs w:val="24"/>
          <w:u w:val="single"/>
        </w:rPr>
      </w:pPr>
      <w:r w:rsidRPr="00590812">
        <w:rPr>
          <w:rFonts w:cs="Arial"/>
          <w:szCs w:val="24"/>
          <w:u w:val="single"/>
        </w:rPr>
        <w:t>The Planning (Listed Buildings and Conservation Areas) Act (1990)</w:t>
      </w:r>
    </w:p>
    <w:p w:rsidR="0023245E" w:rsidRPr="009653B1" w:rsidRDefault="0023245E" w:rsidP="0023245E">
      <w:pPr>
        <w:autoSpaceDE w:val="0"/>
        <w:autoSpaceDN w:val="0"/>
        <w:adjustRightInd w:val="0"/>
        <w:jc w:val="both"/>
        <w:rPr>
          <w:rFonts w:cs="Arial"/>
          <w:szCs w:val="24"/>
        </w:rPr>
      </w:pPr>
      <w:r w:rsidRPr="00590812">
        <w:rPr>
          <w:rFonts w:cs="Arial"/>
          <w:szCs w:val="24"/>
        </w:rPr>
        <w:t xml:space="preserve">The Planning (Listed Buildings and Conservation Areas) Act 1990 (the Act) sets out the principal </w:t>
      </w:r>
      <w:r w:rsidRPr="009653B1">
        <w:rPr>
          <w:rFonts w:cs="Arial"/>
          <w:szCs w:val="24"/>
        </w:rPr>
        <w:t>statutory instruments which must be considered in the determination of any application affecting either listed buildings or conservation areas.</w:t>
      </w:r>
    </w:p>
    <w:p w:rsidR="0023245E" w:rsidRPr="009653B1" w:rsidRDefault="0023245E" w:rsidP="0023245E">
      <w:pPr>
        <w:autoSpaceDE w:val="0"/>
        <w:autoSpaceDN w:val="0"/>
        <w:adjustRightInd w:val="0"/>
        <w:jc w:val="both"/>
        <w:rPr>
          <w:rFonts w:cs="Arial"/>
          <w:szCs w:val="24"/>
        </w:rPr>
      </w:pPr>
    </w:p>
    <w:p w:rsidR="0023245E" w:rsidRPr="009653B1" w:rsidRDefault="0023245E" w:rsidP="0023245E">
      <w:pPr>
        <w:autoSpaceDE w:val="0"/>
        <w:autoSpaceDN w:val="0"/>
        <w:adjustRightInd w:val="0"/>
        <w:jc w:val="both"/>
        <w:rPr>
          <w:rFonts w:cs="Arial"/>
          <w:szCs w:val="24"/>
        </w:rPr>
      </w:pPr>
      <w:r w:rsidRPr="009653B1">
        <w:rPr>
          <w:rFonts w:cs="Arial"/>
          <w:szCs w:val="24"/>
        </w:rPr>
        <w:t>Section 66 of the Act states that in considering whether to grant planning permission for development which affects a listed building or its setting, the local planning authority or, as the case may be, the Secretary of State shall have special regard to the desirability of preserving the building or its setting or any features of special architectural or historic interest which it possesses.</w:t>
      </w:r>
    </w:p>
    <w:p w:rsidR="0023245E" w:rsidRPr="009653B1" w:rsidRDefault="0023245E" w:rsidP="0023245E">
      <w:pPr>
        <w:autoSpaceDE w:val="0"/>
        <w:autoSpaceDN w:val="0"/>
        <w:adjustRightInd w:val="0"/>
        <w:jc w:val="both"/>
        <w:rPr>
          <w:rFonts w:cs="Arial"/>
          <w:szCs w:val="24"/>
        </w:rPr>
      </w:pPr>
    </w:p>
    <w:p w:rsidR="0023245E" w:rsidRPr="00590812" w:rsidRDefault="0023245E" w:rsidP="0023245E">
      <w:pPr>
        <w:autoSpaceDE w:val="0"/>
        <w:autoSpaceDN w:val="0"/>
        <w:adjustRightInd w:val="0"/>
        <w:jc w:val="both"/>
        <w:rPr>
          <w:rFonts w:cs="Arial"/>
          <w:szCs w:val="24"/>
        </w:rPr>
      </w:pPr>
      <w:r w:rsidRPr="009653B1">
        <w:rPr>
          <w:rFonts w:cs="Arial"/>
          <w:szCs w:val="24"/>
        </w:rPr>
        <w:t xml:space="preserve">Recent case law (see particularly E Northants DC v Secretary of State for Communities and Local Government [2014] EWCA </w:t>
      </w:r>
      <w:proofErr w:type="spellStart"/>
      <w:r w:rsidRPr="009653B1">
        <w:rPr>
          <w:rFonts w:cs="Arial"/>
          <w:szCs w:val="24"/>
        </w:rPr>
        <w:t>Civ</w:t>
      </w:r>
      <w:proofErr w:type="spellEnd"/>
      <w:r w:rsidRPr="009653B1">
        <w:rPr>
          <w:rFonts w:cs="Arial"/>
          <w:szCs w:val="24"/>
        </w:rPr>
        <w:t xml:space="preserve"> 137) makes it clear that the duty imposed in the Act means that in considering whether to grant permission for development that may cause harm to a designated asset (listed building or conservation area) and its setting, the decision maker should give particular weight to the desirability of avoiding that harm. There is still a requirement for a planning balance, but</w:t>
      </w:r>
      <w:r w:rsidRPr="00590812">
        <w:rPr>
          <w:rFonts w:cs="Arial"/>
          <w:szCs w:val="24"/>
        </w:rPr>
        <w:t xml:space="preserve"> it must be informed by the need to give weight to the desirability of preserving the asset and its setting.</w:t>
      </w:r>
    </w:p>
    <w:p w:rsidR="0023245E" w:rsidRPr="00590812" w:rsidRDefault="0023245E" w:rsidP="0023245E">
      <w:pPr>
        <w:tabs>
          <w:tab w:val="left" w:pos="2302"/>
        </w:tabs>
        <w:rPr>
          <w:rFonts w:cs="Arial"/>
          <w:szCs w:val="24"/>
          <w:u w:val="single"/>
          <w:lang w:eastAsia="en-GB"/>
        </w:rPr>
      </w:pPr>
    </w:p>
    <w:p w:rsidR="0023245E" w:rsidRPr="00590812" w:rsidRDefault="0023245E" w:rsidP="0023245E">
      <w:pPr>
        <w:tabs>
          <w:tab w:val="left" w:pos="2302"/>
        </w:tabs>
        <w:rPr>
          <w:rFonts w:cs="Arial"/>
          <w:szCs w:val="24"/>
          <w:u w:val="single"/>
          <w:lang w:eastAsia="en-GB"/>
        </w:rPr>
      </w:pPr>
      <w:r w:rsidRPr="00590812">
        <w:rPr>
          <w:rFonts w:cs="Arial"/>
          <w:szCs w:val="24"/>
          <w:u w:val="single"/>
          <w:lang w:eastAsia="en-GB"/>
        </w:rPr>
        <w:t>Historic Environment (Wales) Act 2016</w:t>
      </w:r>
    </w:p>
    <w:p w:rsidR="0023245E" w:rsidRPr="00590812" w:rsidRDefault="0023245E" w:rsidP="0023245E">
      <w:pPr>
        <w:rPr>
          <w:rFonts w:cs="Arial"/>
          <w:szCs w:val="24"/>
          <w:lang w:eastAsia="en-GB"/>
        </w:rPr>
      </w:pPr>
      <w:r w:rsidRPr="00590812">
        <w:rPr>
          <w:rFonts w:cs="Arial"/>
          <w:color w:val="000000"/>
          <w:szCs w:val="24"/>
        </w:rPr>
        <w:t>The Historic Environment (Wales) Act 2016 received Royal Assent on 21 March 2016. Whilst the Act introduced a number of provisions which took effect on 21 May 2016 none of these are directly relevant to the proposal being considered.</w:t>
      </w:r>
    </w:p>
    <w:p w:rsidR="0023245E" w:rsidRPr="00590812" w:rsidRDefault="0023245E" w:rsidP="0023245E">
      <w:pPr>
        <w:tabs>
          <w:tab w:val="left" w:pos="2302"/>
        </w:tabs>
        <w:rPr>
          <w:rFonts w:cs="Arial"/>
          <w:szCs w:val="24"/>
          <w:lang w:eastAsia="en-GB"/>
        </w:rPr>
      </w:pPr>
    </w:p>
    <w:p w:rsidR="0023245E" w:rsidRDefault="0023245E" w:rsidP="0023245E">
      <w:pPr>
        <w:rPr>
          <w:rFonts w:cs="Arial"/>
          <w:szCs w:val="24"/>
          <w:u w:val="single"/>
          <w:lang w:eastAsia="en-GB"/>
        </w:rPr>
      </w:pPr>
    </w:p>
    <w:p w:rsidR="0023245E" w:rsidRPr="00590812" w:rsidRDefault="0023245E" w:rsidP="0023245E">
      <w:pPr>
        <w:rPr>
          <w:rFonts w:cs="Arial"/>
          <w:szCs w:val="24"/>
          <w:u w:val="single"/>
          <w:lang w:eastAsia="en-GB"/>
        </w:rPr>
      </w:pPr>
      <w:r w:rsidRPr="00590812">
        <w:rPr>
          <w:rFonts w:cs="Arial"/>
          <w:szCs w:val="24"/>
          <w:u w:val="single"/>
          <w:lang w:eastAsia="en-GB"/>
        </w:rPr>
        <w:t>Planning Policy Wales</w:t>
      </w:r>
    </w:p>
    <w:p w:rsidR="00AE2A3A" w:rsidRPr="00C36CC4" w:rsidRDefault="00C36CC4" w:rsidP="00C36CC4">
      <w:pPr>
        <w:pStyle w:val="NoSpacing"/>
        <w:rPr>
          <w:rFonts w:ascii="Arial" w:hAnsi="Arial" w:cs="Arial"/>
          <w:sz w:val="24"/>
          <w:szCs w:val="24"/>
        </w:rPr>
      </w:pPr>
      <w:r w:rsidRPr="00C36CC4">
        <w:rPr>
          <w:rFonts w:ascii="Arial" w:hAnsi="Arial" w:cs="Arial"/>
          <w:sz w:val="24"/>
          <w:szCs w:val="24"/>
        </w:rPr>
        <w:t>Paragraph 4.11.1 of Planning Policy Wales (PPW) defines d</w:t>
      </w:r>
      <w:r w:rsidR="00AE2A3A" w:rsidRPr="00C36CC4">
        <w:rPr>
          <w:rFonts w:ascii="Arial" w:hAnsi="Arial" w:cs="Arial"/>
          <w:sz w:val="24"/>
          <w:szCs w:val="24"/>
        </w:rPr>
        <w:t xml:space="preserve">esign as: </w:t>
      </w:r>
    </w:p>
    <w:p w:rsidR="00C36CC4" w:rsidRDefault="00C36CC4" w:rsidP="00C36CC4">
      <w:pPr>
        <w:pStyle w:val="NoSpacing"/>
        <w:rPr>
          <w:rFonts w:ascii="Arial" w:hAnsi="Arial" w:cs="Arial"/>
          <w:sz w:val="24"/>
          <w:szCs w:val="24"/>
        </w:rPr>
      </w:pPr>
    </w:p>
    <w:p w:rsidR="00AE2A3A" w:rsidRPr="00C36CC4" w:rsidRDefault="00AE2A3A" w:rsidP="00C36CC4">
      <w:pPr>
        <w:pStyle w:val="NoSpacing"/>
        <w:ind w:left="720"/>
        <w:rPr>
          <w:rFonts w:ascii="Arial" w:hAnsi="Arial" w:cs="Arial"/>
          <w:sz w:val="24"/>
          <w:szCs w:val="24"/>
        </w:rPr>
      </w:pPr>
      <w:r w:rsidRPr="00C36CC4">
        <w:rPr>
          <w:rFonts w:ascii="Arial" w:hAnsi="Arial" w:cs="Arial"/>
          <w:sz w:val="24"/>
          <w:szCs w:val="24"/>
        </w:rPr>
        <w:t>“</w:t>
      </w:r>
      <w:r w:rsidR="00C36CC4" w:rsidRPr="00C36CC4">
        <w:rPr>
          <w:rFonts w:ascii="Arial" w:hAnsi="Arial" w:cs="Arial"/>
          <w:sz w:val="24"/>
          <w:szCs w:val="24"/>
        </w:rPr>
        <w:t>…the relationship between all elements of the natural and built environment. To create sustainable development, design must go beyond aesthetics and include the social, environmental and economic aspects of the development, including its construction, operation and management, and its relationship to its surroundings.”</w:t>
      </w:r>
    </w:p>
    <w:p w:rsidR="00AE2A3A" w:rsidRPr="00C36CC4" w:rsidRDefault="00AE2A3A" w:rsidP="00C36CC4">
      <w:pPr>
        <w:pStyle w:val="NoSpacing"/>
        <w:rPr>
          <w:rFonts w:ascii="Arial" w:hAnsi="Arial" w:cs="Arial"/>
          <w:sz w:val="24"/>
          <w:szCs w:val="24"/>
        </w:rPr>
      </w:pPr>
    </w:p>
    <w:p w:rsidR="00C36CC4" w:rsidRPr="00C36CC4" w:rsidRDefault="00C36CC4" w:rsidP="00C36CC4">
      <w:pPr>
        <w:pStyle w:val="NoSpacing"/>
        <w:rPr>
          <w:rFonts w:ascii="Arial" w:hAnsi="Arial" w:cs="Arial"/>
          <w:sz w:val="24"/>
          <w:szCs w:val="24"/>
        </w:rPr>
      </w:pPr>
      <w:r>
        <w:rPr>
          <w:rFonts w:ascii="Arial" w:hAnsi="Arial" w:cs="Arial"/>
          <w:sz w:val="24"/>
          <w:szCs w:val="24"/>
        </w:rPr>
        <w:t xml:space="preserve">Paragraph 4.11.9 of </w:t>
      </w:r>
      <w:r w:rsidRPr="00C36CC4">
        <w:rPr>
          <w:rFonts w:ascii="Arial" w:hAnsi="Arial" w:cs="Arial"/>
          <w:sz w:val="24"/>
          <w:szCs w:val="24"/>
        </w:rPr>
        <w:t>PPW further notes:</w:t>
      </w:r>
    </w:p>
    <w:p w:rsidR="00C36CC4" w:rsidRPr="00C36CC4" w:rsidRDefault="00C36CC4" w:rsidP="00C36CC4">
      <w:pPr>
        <w:pStyle w:val="NoSpacing"/>
        <w:rPr>
          <w:rFonts w:ascii="Arial" w:hAnsi="Arial" w:cs="Arial"/>
          <w:sz w:val="24"/>
          <w:szCs w:val="24"/>
        </w:rPr>
      </w:pPr>
    </w:p>
    <w:p w:rsidR="00C36CC4" w:rsidRPr="00C36CC4" w:rsidRDefault="00C36CC4" w:rsidP="00C36CC4">
      <w:pPr>
        <w:pStyle w:val="NoSpacing"/>
        <w:ind w:left="720"/>
        <w:rPr>
          <w:rFonts w:ascii="Arial" w:hAnsi="Arial" w:cs="Arial"/>
          <w:sz w:val="24"/>
          <w:szCs w:val="24"/>
        </w:rPr>
      </w:pPr>
      <w:r>
        <w:rPr>
          <w:rFonts w:ascii="Arial" w:hAnsi="Arial" w:cs="Arial"/>
          <w:sz w:val="24"/>
          <w:szCs w:val="24"/>
        </w:rPr>
        <w:t>“</w:t>
      </w:r>
      <w:r w:rsidRPr="00C36CC4">
        <w:rPr>
          <w:rFonts w:ascii="Arial" w:hAnsi="Arial" w:cs="Arial"/>
          <w:sz w:val="24"/>
          <w:szCs w:val="24"/>
        </w:rPr>
        <w:t>The visual appearance of proposed development, its scale and its relationship to its surroundings and context are material planning considerations. Local planning authorities should reject poor building and contextual designs. However, they should not attempt to impose a particular architectural taste or style arbitrarily and should avoid inhibiting opportunities for innovative design solutions.</w:t>
      </w:r>
      <w:r>
        <w:rPr>
          <w:rFonts w:ascii="Arial" w:hAnsi="Arial" w:cs="Arial"/>
          <w:sz w:val="24"/>
          <w:szCs w:val="24"/>
        </w:rPr>
        <w:t>”</w:t>
      </w:r>
    </w:p>
    <w:p w:rsidR="00C36CC4" w:rsidRPr="00C36CC4" w:rsidRDefault="00C36CC4" w:rsidP="00C36CC4">
      <w:pPr>
        <w:pStyle w:val="NoSpacing"/>
        <w:rPr>
          <w:rFonts w:ascii="Arial" w:hAnsi="Arial" w:cs="Arial"/>
          <w:sz w:val="24"/>
          <w:szCs w:val="24"/>
        </w:rPr>
      </w:pPr>
    </w:p>
    <w:p w:rsidR="0023245E" w:rsidRPr="00C36CC4" w:rsidRDefault="0023245E" w:rsidP="0023245E">
      <w:pPr>
        <w:pStyle w:val="NoSpacing"/>
        <w:rPr>
          <w:rFonts w:ascii="Arial" w:hAnsi="Arial" w:cs="Arial"/>
          <w:sz w:val="24"/>
          <w:szCs w:val="24"/>
        </w:rPr>
      </w:pPr>
      <w:r w:rsidRPr="00C36CC4">
        <w:rPr>
          <w:rFonts w:ascii="Arial" w:hAnsi="Arial" w:cs="Arial"/>
          <w:sz w:val="24"/>
          <w:szCs w:val="24"/>
        </w:rPr>
        <w:t xml:space="preserve">Chapter 6 of Planning Policy Wales (PPW) sets out the Welsh Government’s planning guidance on the conservation and enhancement of the historic environment. </w:t>
      </w:r>
    </w:p>
    <w:p w:rsidR="0023245E" w:rsidRPr="00C36CC4" w:rsidRDefault="0023245E" w:rsidP="0023245E">
      <w:pPr>
        <w:pStyle w:val="NoSpacing"/>
        <w:rPr>
          <w:rFonts w:ascii="Arial" w:hAnsi="Arial" w:cs="Arial"/>
          <w:sz w:val="24"/>
          <w:szCs w:val="24"/>
        </w:rPr>
      </w:pPr>
    </w:p>
    <w:p w:rsidR="0023245E" w:rsidRPr="00C36CC4" w:rsidRDefault="0023245E" w:rsidP="0023245E">
      <w:pPr>
        <w:rPr>
          <w:rFonts w:cs="Arial"/>
          <w:color w:val="000000"/>
          <w:szCs w:val="24"/>
        </w:rPr>
      </w:pPr>
      <w:r w:rsidRPr="00C36CC4">
        <w:rPr>
          <w:rFonts w:cs="Arial"/>
          <w:color w:val="000000"/>
          <w:szCs w:val="24"/>
        </w:rPr>
        <w:t>Para 6.5.11 states “</w:t>
      </w:r>
      <w:r w:rsidRPr="00C36CC4">
        <w:rPr>
          <w:rFonts w:cs="Futura Std Book"/>
          <w:color w:val="000000"/>
          <w:szCs w:val="24"/>
        </w:rPr>
        <w:t>There should be a general presumption in favour of the preservation of a listed building and its setting, which might extend beyond its curtilage. For any development proposal affecting a listed building or its setting, the primary material consideration is the statutory requirement to have special regard to the desirability of preserving the building, its setting or any features of special architectural or historic interest which it possesses.</w:t>
      </w:r>
      <w:r w:rsidR="00C36CC4" w:rsidRPr="00C36CC4">
        <w:rPr>
          <w:rFonts w:cs="Futura Std Book"/>
          <w:color w:val="000000"/>
          <w:szCs w:val="24"/>
        </w:rPr>
        <w:t xml:space="preserve"> </w:t>
      </w:r>
      <w:r w:rsidRPr="00C36CC4">
        <w:rPr>
          <w:rFonts w:cs="Futura Std Book"/>
          <w:color w:val="000000"/>
          <w:szCs w:val="24"/>
        </w:rPr>
        <w:t xml:space="preserve">The aim should be to find the best way to protect and enhance the special qualities of listed buildings, retaining them in sustainable use. The continuation or reinstatement of the original use should generally be the first option, but not all original uses will now be viable or appropriate. The application of development and listed </w:t>
      </w:r>
      <w:r w:rsidRPr="00C36CC4">
        <w:rPr>
          <w:rFonts w:cs="Arial"/>
          <w:color w:val="000000"/>
          <w:szCs w:val="24"/>
        </w:rPr>
        <w:t xml:space="preserve">building controls should recognise the need for flexibility where new uses have to be considered in order to secure a building’s survival or provide it </w:t>
      </w:r>
      <w:r w:rsidR="00C36CC4" w:rsidRPr="00C36CC4">
        <w:rPr>
          <w:rFonts w:cs="Arial"/>
          <w:color w:val="000000"/>
          <w:szCs w:val="24"/>
        </w:rPr>
        <w:t>with a sound economic future.</w:t>
      </w:r>
      <w:proofErr w:type="gramStart"/>
      <w:r w:rsidR="00C36CC4" w:rsidRPr="00C36CC4">
        <w:rPr>
          <w:rFonts w:cs="Arial"/>
          <w:color w:val="000000"/>
          <w:szCs w:val="24"/>
        </w:rPr>
        <w:t>”.</w:t>
      </w:r>
      <w:proofErr w:type="gramEnd"/>
    </w:p>
    <w:p w:rsidR="0023245E" w:rsidRPr="00C36CC4" w:rsidRDefault="0023245E" w:rsidP="0023245E">
      <w:pPr>
        <w:rPr>
          <w:rFonts w:cs="Arial"/>
          <w:color w:val="000000"/>
          <w:szCs w:val="24"/>
        </w:rPr>
      </w:pPr>
    </w:p>
    <w:p w:rsidR="0023245E" w:rsidRPr="00C36CC4" w:rsidRDefault="0023245E" w:rsidP="0023245E">
      <w:pPr>
        <w:rPr>
          <w:rFonts w:cs="Arial"/>
          <w:color w:val="000000"/>
          <w:szCs w:val="24"/>
          <w:u w:val="single"/>
        </w:rPr>
      </w:pPr>
      <w:r w:rsidRPr="00C36CC4">
        <w:rPr>
          <w:rFonts w:cs="Arial"/>
          <w:color w:val="000000"/>
          <w:szCs w:val="24"/>
          <w:u w:val="single"/>
        </w:rPr>
        <w:t>Technical Advice Note 12: Design</w:t>
      </w:r>
    </w:p>
    <w:p w:rsidR="00C36CC4" w:rsidRPr="00C36CC4" w:rsidRDefault="00C36CC4" w:rsidP="00C36CC4">
      <w:pPr>
        <w:rPr>
          <w:rFonts w:cs="Arial"/>
          <w:color w:val="000000"/>
          <w:szCs w:val="24"/>
        </w:rPr>
      </w:pPr>
      <w:r w:rsidRPr="00C36CC4">
        <w:rPr>
          <w:rFonts w:cs="Arial"/>
          <w:color w:val="000000"/>
          <w:szCs w:val="24"/>
        </w:rPr>
        <w:t xml:space="preserve">Technical Advice Note 12: Design supplements the design advice given in PPW and gives further </w:t>
      </w:r>
      <w:r w:rsidRPr="00C36CC4">
        <w:rPr>
          <w:rFonts w:eastAsiaTheme="minorHAnsi" w:cs="Arial"/>
          <w:color w:val="231F20"/>
          <w:szCs w:val="24"/>
        </w:rPr>
        <w:t>advice on how good design may be facilitated within the planning system.</w:t>
      </w:r>
    </w:p>
    <w:p w:rsidR="0023245E" w:rsidRPr="00C36CC4" w:rsidRDefault="0023245E" w:rsidP="0023245E">
      <w:pPr>
        <w:rPr>
          <w:rFonts w:cs="Arial"/>
          <w:color w:val="000000"/>
          <w:szCs w:val="24"/>
        </w:rPr>
      </w:pPr>
    </w:p>
    <w:p w:rsidR="0023245E" w:rsidRPr="00C36CC4" w:rsidRDefault="0023245E" w:rsidP="0023245E">
      <w:pPr>
        <w:pStyle w:val="NoSpacing"/>
        <w:rPr>
          <w:rFonts w:ascii="Arial" w:hAnsi="Arial" w:cs="Arial"/>
          <w:sz w:val="24"/>
          <w:szCs w:val="24"/>
          <w:u w:val="single"/>
        </w:rPr>
      </w:pPr>
      <w:r w:rsidRPr="00C36CC4">
        <w:rPr>
          <w:rFonts w:ascii="Arial" w:hAnsi="Arial" w:cs="Arial"/>
          <w:sz w:val="24"/>
          <w:szCs w:val="24"/>
          <w:u w:val="single"/>
        </w:rPr>
        <w:t>DRAFT Technical Advice Note 24: The Historic Environment</w:t>
      </w:r>
    </w:p>
    <w:p w:rsidR="0023245E" w:rsidRPr="00590812" w:rsidRDefault="0023245E" w:rsidP="0023245E">
      <w:pPr>
        <w:pStyle w:val="NoSpacing"/>
        <w:rPr>
          <w:rFonts w:ascii="Arial" w:hAnsi="Arial" w:cs="Arial"/>
          <w:sz w:val="24"/>
          <w:szCs w:val="24"/>
        </w:rPr>
      </w:pPr>
      <w:r w:rsidRPr="00C36CC4">
        <w:rPr>
          <w:rFonts w:ascii="Arial" w:hAnsi="Arial" w:cs="Arial"/>
          <w:sz w:val="24"/>
          <w:szCs w:val="24"/>
        </w:rPr>
        <w:t>In late 2016, the Welsh Government conducted a consultation exercise on a new Technical Advice Note</w:t>
      </w:r>
      <w:r>
        <w:rPr>
          <w:rFonts w:ascii="Arial" w:hAnsi="Arial" w:cs="Arial"/>
          <w:sz w:val="24"/>
          <w:szCs w:val="24"/>
        </w:rPr>
        <w:t xml:space="preserve"> 24: The Historic Environment. </w:t>
      </w:r>
      <w:r w:rsidRPr="00590812">
        <w:rPr>
          <w:rFonts w:ascii="Arial" w:hAnsi="Arial" w:cs="Arial"/>
          <w:sz w:val="24"/>
          <w:szCs w:val="24"/>
        </w:rPr>
        <w:t xml:space="preserve">However, this has not yet led to the publication </w:t>
      </w:r>
      <w:r>
        <w:rPr>
          <w:rFonts w:ascii="Arial" w:hAnsi="Arial" w:cs="Arial"/>
          <w:sz w:val="24"/>
          <w:szCs w:val="24"/>
        </w:rPr>
        <w:t>and adoption of a TAN</w:t>
      </w:r>
      <w:r w:rsidRPr="00590812">
        <w:rPr>
          <w:rFonts w:ascii="Arial" w:hAnsi="Arial" w:cs="Arial"/>
          <w:sz w:val="24"/>
          <w:szCs w:val="24"/>
        </w:rPr>
        <w:t>.</w:t>
      </w:r>
    </w:p>
    <w:p w:rsidR="0023245E" w:rsidRDefault="0023245E" w:rsidP="0023245E">
      <w:pPr>
        <w:rPr>
          <w:rFonts w:cs="Arial"/>
          <w:color w:val="000000"/>
          <w:szCs w:val="24"/>
        </w:rPr>
      </w:pPr>
    </w:p>
    <w:p w:rsidR="0023245E" w:rsidRPr="00590812" w:rsidRDefault="0023245E" w:rsidP="0023245E">
      <w:pPr>
        <w:rPr>
          <w:rFonts w:cs="Arial"/>
          <w:b/>
          <w:color w:val="000000"/>
          <w:szCs w:val="24"/>
        </w:rPr>
      </w:pPr>
      <w:r w:rsidRPr="00590812">
        <w:rPr>
          <w:rFonts w:cs="Arial"/>
          <w:b/>
          <w:color w:val="000000"/>
          <w:szCs w:val="24"/>
        </w:rPr>
        <w:t>ASSESSMENT OF PROPOSAL</w:t>
      </w:r>
    </w:p>
    <w:p w:rsidR="00FE1A27" w:rsidRPr="00FE1A27" w:rsidRDefault="00FE1A27" w:rsidP="00FE1A27">
      <w:pPr>
        <w:ind w:right="652"/>
        <w:rPr>
          <w:rFonts w:cs="Arial"/>
          <w:szCs w:val="24"/>
          <w:u w:val="single"/>
          <w:lang w:eastAsia="en-GB"/>
        </w:rPr>
      </w:pPr>
      <w:r w:rsidRPr="00FE1A27">
        <w:rPr>
          <w:rFonts w:cs="Arial"/>
          <w:szCs w:val="24"/>
          <w:u w:val="single"/>
          <w:lang w:eastAsia="en-GB"/>
        </w:rPr>
        <w:t>Site Location</w:t>
      </w:r>
    </w:p>
    <w:p w:rsidR="00FE1A27" w:rsidRDefault="00FE1A27" w:rsidP="00FE1A27">
      <w:pPr>
        <w:ind w:right="652"/>
        <w:rPr>
          <w:rFonts w:cs="Arial"/>
          <w:szCs w:val="24"/>
          <w:lang w:eastAsia="en-GB"/>
        </w:rPr>
      </w:pPr>
      <w:r w:rsidRPr="00FE1A27">
        <w:rPr>
          <w:rFonts w:cs="Arial"/>
          <w:szCs w:val="24"/>
          <w:lang w:eastAsia="en-GB"/>
        </w:rPr>
        <w:t xml:space="preserve">The site is located outside the Penarth Conservation Area but within the residential settlement boundary of Penarth. </w:t>
      </w:r>
      <w:r>
        <w:rPr>
          <w:rFonts w:cs="Arial"/>
          <w:szCs w:val="24"/>
          <w:lang w:eastAsia="en-GB"/>
        </w:rPr>
        <w:t xml:space="preserve">It occupies a relatively high profile site bounded to the east by Cliff Walk (and the adjacent cliffs); to the west by Cliff Parade and to the north by No. 6 Cliff Parade. </w:t>
      </w:r>
      <w:proofErr w:type="gramStart"/>
      <w:r>
        <w:rPr>
          <w:rFonts w:cs="Arial"/>
          <w:szCs w:val="24"/>
          <w:lang w:eastAsia="en-GB"/>
        </w:rPr>
        <w:t xml:space="preserve">The vertex of Cliff Walk and Cliff Parade </w:t>
      </w:r>
      <w:r w:rsidR="009E6D23">
        <w:rPr>
          <w:rFonts w:cs="Arial"/>
          <w:szCs w:val="24"/>
          <w:lang w:eastAsia="en-GB"/>
        </w:rPr>
        <w:t>meat to form the southern boundary.</w:t>
      </w:r>
      <w:proofErr w:type="gramEnd"/>
      <w:r w:rsidR="009E6D23">
        <w:rPr>
          <w:rFonts w:cs="Arial"/>
          <w:szCs w:val="24"/>
          <w:lang w:eastAsia="en-GB"/>
        </w:rPr>
        <w:t xml:space="preserve"> </w:t>
      </w:r>
    </w:p>
    <w:p w:rsidR="009E6D23" w:rsidRDefault="009E6D23" w:rsidP="00FE1A27">
      <w:pPr>
        <w:ind w:right="652"/>
        <w:rPr>
          <w:rFonts w:cs="Arial"/>
          <w:szCs w:val="24"/>
          <w:lang w:eastAsia="en-GB"/>
        </w:rPr>
      </w:pPr>
    </w:p>
    <w:p w:rsidR="004E72C8" w:rsidRPr="006E0943" w:rsidRDefault="004E72C8" w:rsidP="004E72C8">
      <w:pPr>
        <w:ind w:right="652"/>
        <w:rPr>
          <w:rFonts w:cs="Arial"/>
        </w:rPr>
      </w:pPr>
      <w:r w:rsidRPr="006E0943">
        <w:rPr>
          <w:rFonts w:cs="Arial"/>
        </w:rPr>
        <w:t xml:space="preserve">The relatively narrow plot means careful consideration will need to be given to amenity space for the proposed dwelling. The proposal introduces an unashamedly contemporary building which will exploit the coastal setting and views over the Bristol Channel. </w:t>
      </w:r>
    </w:p>
    <w:p w:rsidR="004E72C8" w:rsidRDefault="004E72C8" w:rsidP="00FE1A27">
      <w:pPr>
        <w:ind w:right="652"/>
        <w:rPr>
          <w:rFonts w:cs="Arial"/>
          <w:szCs w:val="24"/>
          <w:lang w:eastAsia="en-GB"/>
        </w:rPr>
      </w:pPr>
    </w:p>
    <w:p w:rsidR="00FE1A27" w:rsidRPr="00FE1A27" w:rsidRDefault="00FE1A27" w:rsidP="00FE1A27">
      <w:pPr>
        <w:ind w:right="652"/>
        <w:rPr>
          <w:rFonts w:cs="Arial"/>
          <w:szCs w:val="24"/>
          <w:u w:val="single"/>
          <w:lang w:eastAsia="en-GB"/>
        </w:rPr>
      </w:pPr>
      <w:r w:rsidRPr="00FE1A27">
        <w:rPr>
          <w:rFonts w:cs="Arial"/>
          <w:szCs w:val="24"/>
          <w:u w:val="single"/>
          <w:lang w:eastAsia="en-GB"/>
        </w:rPr>
        <w:t>Concept</w:t>
      </w:r>
    </w:p>
    <w:p w:rsidR="009E6D23" w:rsidRDefault="009E6D23" w:rsidP="009E6D23">
      <w:pPr>
        <w:ind w:right="652"/>
        <w:rPr>
          <w:rFonts w:cs="Arial"/>
          <w:szCs w:val="24"/>
          <w:lang w:eastAsia="en-GB"/>
        </w:rPr>
      </w:pPr>
      <w:r w:rsidRPr="006E0943">
        <w:rPr>
          <w:rFonts w:cs="Arial"/>
          <w:szCs w:val="24"/>
          <w:lang w:eastAsia="en-GB"/>
        </w:rPr>
        <w:t xml:space="preserve">Reference is made in the Design and Access Statement </w:t>
      </w:r>
      <w:r>
        <w:rPr>
          <w:rFonts w:cs="Arial"/>
          <w:szCs w:val="24"/>
          <w:lang w:eastAsia="en-GB"/>
        </w:rPr>
        <w:t xml:space="preserve">(DAS) </w:t>
      </w:r>
      <w:r w:rsidRPr="006E0943">
        <w:rPr>
          <w:rFonts w:cs="Arial"/>
          <w:szCs w:val="24"/>
          <w:lang w:eastAsia="en-GB"/>
        </w:rPr>
        <w:t xml:space="preserve">to Art Deco precedents in Penarth citing Sea Roads (opposite the site) and the former Post Office. Both </w:t>
      </w:r>
      <w:r>
        <w:rPr>
          <w:rFonts w:cs="Arial"/>
          <w:szCs w:val="24"/>
          <w:lang w:eastAsia="en-GB"/>
        </w:rPr>
        <w:t xml:space="preserve">of these buildings should be considered, in fact, as examples of the Art </w:t>
      </w:r>
      <w:proofErr w:type="spellStart"/>
      <w:r>
        <w:rPr>
          <w:rFonts w:cs="Arial"/>
          <w:szCs w:val="24"/>
          <w:lang w:eastAsia="en-GB"/>
        </w:rPr>
        <w:t>Moderne</w:t>
      </w:r>
      <w:proofErr w:type="spellEnd"/>
      <w:r>
        <w:rPr>
          <w:rFonts w:cs="Arial"/>
          <w:szCs w:val="24"/>
          <w:lang w:eastAsia="en-GB"/>
        </w:rPr>
        <w:t xml:space="preserve"> movement rather than Art Deco. Their strong horizontal emphasis and the curved ribbon windows of the Post Office are classic characteristics of this style. The proposal is, probably, more accurately described as Neo-modernist. </w:t>
      </w:r>
    </w:p>
    <w:p w:rsidR="009E6D23" w:rsidRDefault="009E6D23" w:rsidP="009E6D23">
      <w:pPr>
        <w:ind w:right="652"/>
        <w:rPr>
          <w:rFonts w:cs="Arial"/>
          <w:szCs w:val="24"/>
          <w:lang w:eastAsia="en-GB"/>
        </w:rPr>
      </w:pPr>
    </w:p>
    <w:p w:rsidR="009E6D23" w:rsidRDefault="009E6D23" w:rsidP="009E6D23">
      <w:pPr>
        <w:ind w:right="652"/>
        <w:rPr>
          <w:rFonts w:cs="Arial"/>
          <w:szCs w:val="24"/>
          <w:lang w:eastAsia="en-GB"/>
        </w:rPr>
      </w:pPr>
      <w:r>
        <w:rPr>
          <w:rFonts w:cs="Arial"/>
          <w:szCs w:val="24"/>
          <w:lang w:eastAsia="en-GB"/>
        </w:rPr>
        <w:t>The Design Concept is well articulated on page 24 of the DAS and is not</w:t>
      </w:r>
      <w:r w:rsidR="004E72C8">
        <w:rPr>
          <w:rFonts w:cs="Arial"/>
          <w:szCs w:val="24"/>
          <w:lang w:eastAsia="en-GB"/>
        </w:rPr>
        <w:t>, therefore,</w:t>
      </w:r>
      <w:r>
        <w:rPr>
          <w:rFonts w:cs="Arial"/>
          <w:szCs w:val="24"/>
          <w:lang w:eastAsia="en-GB"/>
        </w:rPr>
        <w:t xml:space="preserve"> repeated here. </w:t>
      </w:r>
    </w:p>
    <w:p w:rsidR="00FE1A27" w:rsidRDefault="00FE1A27" w:rsidP="0023245E">
      <w:pPr>
        <w:ind w:right="652"/>
        <w:rPr>
          <w:rFonts w:cs="Arial"/>
          <w:szCs w:val="24"/>
          <w:lang w:eastAsia="en-GB"/>
        </w:rPr>
      </w:pPr>
    </w:p>
    <w:p w:rsidR="00FE1A27" w:rsidRPr="004E72C8" w:rsidRDefault="00FE1A27" w:rsidP="0023245E">
      <w:pPr>
        <w:ind w:right="652"/>
        <w:rPr>
          <w:rFonts w:cs="Arial"/>
          <w:szCs w:val="24"/>
          <w:u w:val="single"/>
          <w:lang w:eastAsia="en-GB"/>
        </w:rPr>
      </w:pPr>
      <w:r w:rsidRPr="004E72C8">
        <w:rPr>
          <w:rFonts w:cs="Arial"/>
          <w:szCs w:val="24"/>
          <w:u w:val="single"/>
          <w:lang w:eastAsia="en-GB"/>
        </w:rPr>
        <w:t>Materials</w:t>
      </w:r>
    </w:p>
    <w:p w:rsidR="00FE1A27" w:rsidRDefault="004E72C8" w:rsidP="0023245E">
      <w:pPr>
        <w:ind w:right="652"/>
        <w:rPr>
          <w:rFonts w:cs="Arial"/>
          <w:szCs w:val="24"/>
          <w:lang w:eastAsia="en-GB"/>
        </w:rPr>
      </w:pPr>
      <w:r>
        <w:rPr>
          <w:rFonts w:cs="Arial"/>
          <w:szCs w:val="24"/>
          <w:lang w:eastAsia="en-GB"/>
        </w:rPr>
        <w:t xml:space="preserve">A simple </w:t>
      </w:r>
      <w:proofErr w:type="spellStart"/>
      <w:r>
        <w:rPr>
          <w:rFonts w:cs="Arial"/>
          <w:szCs w:val="24"/>
          <w:lang w:eastAsia="en-GB"/>
        </w:rPr>
        <w:t>pallete</w:t>
      </w:r>
      <w:proofErr w:type="spellEnd"/>
      <w:r>
        <w:rPr>
          <w:rFonts w:cs="Arial"/>
          <w:szCs w:val="24"/>
          <w:lang w:eastAsia="en-GB"/>
        </w:rPr>
        <w:t xml:space="preserve"> of materials consisting of a through colour render with stained black timber and powder coated metal detailing is proposed. </w:t>
      </w:r>
      <w:r w:rsidR="004D6C54">
        <w:rPr>
          <w:rFonts w:cs="Arial"/>
          <w:szCs w:val="24"/>
          <w:lang w:eastAsia="en-GB"/>
        </w:rPr>
        <w:t>The use of a through colour render in an exposed location is of some concern as it can weather badly. This is, however, chiefly a procurement issue and provided it is applied appropriately should not be a significant issue.</w:t>
      </w:r>
    </w:p>
    <w:p w:rsidR="0023245E" w:rsidRDefault="0023245E" w:rsidP="0023245E">
      <w:pPr>
        <w:ind w:right="652"/>
        <w:rPr>
          <w:rFonts w:cs="Arial"/>
          <w:b/>
          <w:szCs w:val="24"/>
          <w:lang w:eastAsia="en-GB"/>
        </w:rPr>
      </w:pPr>
    </w:p>
    <w:p w:rsidR="004D6C54" w:rsidRPr="004D6C54" w:rsidRDefault="004D6C54" w:rsidP="0023245E">
      <w:pPr>
        <w:ind w:right="652"/>
        <w:rPr>
          <w:rFonts w:cs="Arial"/>
          <w:szCs w:val="24"/>
          <w:u w:val="single"/>
          <w:lang w:eastAsia="en-GB"/>
        </w:rPr>
      </w:pPr>
      <w:r w:rsidRPr="004D6C54">
        <w:rPr>
          <w:rFonts w:cs="Arial"/>
          <w:szCs w:val="24"/>
          <w:u w:val="single"/>
          <w:lang w:eastAsia="en-GB"/>
        </w:rPr>
        <w:t>Acceptability of the Proposal</w:t>
      </w:r>
    </w:p>
    <w:p w:rsidR="004D6C54" w:rsidRDefault="004D6C54" w:rsidP="0023245E">
      <w:pPr>
        <w:ind w:right="652"/>
        <w:rPr>
          <w:rFonts w:cs="Arial"/>
          <w:szCs w:val="24"/>
          <w:lang w:eastAsia="en-GB"/>
        </w:rPr>
      </w:pPr>
      <w:r w:rsidRPr="004D6C54">
        <w:rPr>
          <w:rFonts w:cs="Arial"/>
          <w:szCs w:val="24"/>
          <w:lang w:eastAsia="en-GB"/>
        </w:rPr>
        <w:t xml:space="preserve">The current dwelling on the site is of limited architectural merit. </w:t>
      </w:r>
      <w:r>
        <w:rPr>
          <w:rFonts w:cs="Arial"/>
          <w:szCs w:val="24"/>
          <w:lang w:eastAsia="en-GB"/>
        </w:rPr>
        <w:t xml:space="preserve">The principal of its demolition and replacement is considered to be acceptable. The proposal to introduce a Neo-modernist building in its place </w:t>
      </w:r>
      <w:r w:rsidR="009653B1">
        <w:rPr>
          <w:rFonts w:cs="Arial"/>
          <w:szCs w:val="24"/>
          <w:lang w:eastAsia="en-GB"/>
        </w:rPr>
        <w:t xml:space="preserve">is also considered appropriate. </w:t>
      </w:r>
    </w:p>
    <w:p w:rsidR="009653B1" w:rsidRDefault="009653B1" w:rsidP="0023245E">
      <w:pPr>
        <w:ind w:right="652"/>
        <w:rPr>
          <w:rFonts w:cs="Arial"/>
          <w:szCs w:val="24"/>
          <w:lang w:eastAsia="en-GB"/>
        </w:rPr>
      </w:pPr>
    </w:p>
    <w:p w:rsidR="009653B1" w:rsidRDefault="009653B1" w:rsidP="0023245E">
      <w:pPr>
        <w:ind w:right="652"/>
        <w:rPr>
          <w:rFonts w:cs="Arial"/>
          <w:szCs w:val="24"/>
          <w:lang w:eastAsia="en-GB"/>
        </w:rPr>
      </w:pPr>
      <w:r>
        <w:rPr>
          <w:rFonts w:cs="Arial"/>
          <w:szCs w:val="24"/>
          <w:lang w:eastAsia="en-GB"/>
        </w:rPr>
        <w:t xml:space="preserve">Whilst it is, perhaps, regrettable that there is limited articulation on the highway facing elevation I am mindful of the current situation where the boundary is formed by a tall fence. On this basis, I do not raise an objection to the proposal. </w:t>
      </w:r>
    </w:p>
    <w:p w:rsidR="004D6C54" w:rsidRDefault="004D6C54" w:rsidP="0023245E">
      <w:pPr>
        <w:ind w:right="652"/>
        <w:rPr>
          <w:rFonts w:cs="Arial"/>
          <w:szCs w:val="24"/>
          <w:lang w:eastAsia="en-GB"/>
        </w:rPr>
      </w:pPr>
    </w:p>
    <w:p w:rsidR="009653B1" w:rsidRPr="009653B1" w:rsidRDefault="009653B1" w:rsidP="0023245E">
      <w:pPr>
        <w:ind w:right="652"/>
        <w:rPr>
          <w:rFonts w:cs="Arial"/>
          <w:szCs w:val="24"/>
          <w:u w:val="single"/>
          <w:lang w:eastAsia="en-GB"/>
        </w:rPr>
      </w:pPr>
      <w:r w:rsidRPr="009653B1">
        <w:rPr>
          <w:rFonts w:cs="Arial"/>
          <w:szCs w:val="24"/>
          <w:u w:val="single"/>
          <w:lang w:eastAsia="en-GB"/>
        </w:rPr>
        <w:t>Impact on the Historic Environment</w:t>
      </w:r>
    </w:p>
    <w:p w:rsidR="009653B1" w:rsidRDefault="009653B1" w:rsidP="0023245E">
      <w:pPr>
        <w:ind w:right="652"/>
        <w:rPr>
          <w:rFonts w:cs="Arial"/>
          <w:szCs w:val="24"/>
          <w:lang w:eastAsia="en-GB"/>
        </w:rPr>
      </w:pPr>
      <w:r>
        <w:rPr>
          <w:rFonts w:cs="Arial"/>
          <w:szCs w:val="24"/>
          <w:lang w:eastAsia="en-GB"/>
        </w:rPr>
        <w:t xml:space="preserve">Mindful of the existing situation I am satisfied that the setting of the nearby listed building (Sea Roads) will be preserved. </w:t>
      </w:r>
    </w:p>
    <w:p w:rsidR="009653B1" w:rsidRPr="004D6C54" w:rsidRDefault="009653B1" w:rsidP="0023245E">
      <w:pPr>
        <w:ind w:right="652"/>
        <w:rPr>
          <w:rFonts w:cs="Arial"/>
          <w:szCs w:val="24"/>
          <w:lang w:eastAsia="en-GB"/>
        </w:rPr>
      </w:pPr>
    </w:p>
    <w:p w:rsidR="0023245E" w:rsidRPr="002D47A7" w:rsidRDefault="0023245E" w:rsidP="0023245E">
      <w:pPr>
        <w:ind w:right="652"/>
        <w:rPr>
          <w:rFonts w:cs="Arial"/>
          <w:b/>
          <w:szCs w:val="24"/>
          <w:lang w:eastAsia="en-GB"/>
        </w:rPr>
      </w:pPr>
      <w:r w:rsidRPr="002D47A7">
        <w:rPr>
          <w:rFonts w:cs="Arial"/>
          <w:b/>
          <w:szCs w:val="24"/>
          <w:lang w:eastAsia="en-GB"/>
        </w:rPr>
        <w:t>CONCLUSION</w:t>
      </w:r>
    </w:p>
    <w:p w:rsidR="00AB050D" w:rsidRPr="00EE3417" w:rsidRDefault="00AB050D" w:rsidP="00AB050D">
      <w:pPr>
        <w:ind w:right="652"/>
        <w:rPr>
          <w:rFonts w:cs="Arial"/>
          <w:szCs w:val="24"/>
          <w:lang w:eastAsia="en-GB"/>
        </w:rPr>
      </w:pPr>
      <w:r w:rsidRPr="00EE3417">
        <w:rPr>
          <w:rFonts w:cs="Arial"/>
          <w:szCs w:val="24"/>
          <w:lang w:eastAsia="en-GB"/>
        </w:rPr>
        <w:t xml:space="preserve">For the reasons given above I </w:t>
      </w:r>
      <w:r w:rsidR="00EE3417" w:rsidRPr="00EE3417">
        <w:rPr>
          <w:rFonts w:cs="Arial"/>
          <w:szCs w:val="24"/>
          <w:lang w:eastAsia="en-GB"/>
        </w:rPr>
        <w:t>do not object to the application.</w:t>
      </w:r>
    </w:p>
    <w:p w:rsidR="00AB050D" w:rsidRPr="00EE3417" w:rsidRDefault="00AB050D" w:rsidP="00AB050D">
      <w:pPr>
        <w:ind w:right="652"/>
        <w:rPr>
          <w:rFonts w:cs="Arial"/>
          <w:szCs w:val="24"/>
          <w:lang w:eastAsia="en-GB"/>
        </w:rPr>
      </w:pPr>
    </w:p>
    <w:p w:rsidR="00AB050D" w:rsidRPr="00EE3417" w:rsidRDefault="00AB050D" w:rsidP="00AB050D">
      <w:pPr>
        <w:ind w:right="652"/>
        <w:rPr>
          <w:rFonts w:cs="Arial"/>
          <w:szCs w:val="24"/>
          <w:lang w:eastAsia="en-GB"/>
        </w:rPr>
      </w:pPr>
      <w:r w:rsidRPr="00EE3417">
        <w:rPr>
          <w:rFonts w:cs="Arial"/>
          <w:szCs w:val="24"/>
          <w:lang w:eastAsia="en-GB"/>
        </w:rPr>
        <w:t>Peter Thomas</w:t>
      </w:r>
    </w:p>
    <w:p w:rsidR="00AB050D" w:rsidRPr="00590812" w:rsidRDefault="00AB050D" w:rsidP="00AB050D">
      <w:pPr>
        <w:ind w:right="652"/>
        <w:rPr>
          <w:rFonts w:cs="Arial"/>
          <w:szCs w:val="24"/>
          <w:u w:val="single"/>
          <w:lang w:eastAsia="en-GB"/>
        </w:rPr>
      </w:pPr>
      <w:r w:rsidRPr="00EE3417">
        <w:rPr>
          <w:rFonts w:cs="Arial"/>
          <w:szCs w:val="24"/>
          <w:u w:val="single"/>
          <w:lang w:eastAsia="en-GB"/>
        </w:rPr>
        <w:t>Senior Planner (Conservation and Design)</w:t>
      </w:r>
    </w:p>
    <w:p w:rsidR="00AB050D" w:rsidRPr="00590812" w:rsidRDefault="00AB050D" w:rsidP="00AB050D">
      <w:pPr>
        <w:rPr>
          <w:rFonts w:cs="Arial"/>
          <w:szCs w:val="24"/>
          <w:lang w:val="en"/>
        </w:rPr>
      </w:pPr>
      <w:r w:rsidRPr="00590812">
        <w:rPr>
          <w:rFonts w:cs="Arial"/>
          <w:szCs w:val="24"/>
          <w:lang w:val="en"/>
        </w:rPr>
        <w:t xml:space="preserve"> </w:t>
      </w:r>
    </w:p>
    <w:p w:rsidR="00AB050D" w:rsidRPr="00590812" w:rsidRDefault="00AB050D" w:rsidP="00AB050D">
      <w:pPr>
        <w:autoSpaceDE w:val="0"/>
        <w:autoSpaceDN w:val="0"/>
        <w:adjustRightInd w:val="0"/>
        <w:jc w:val="both"/>
        <w:rPr>
          <w:rFonts w:cs="Arial"/>
          <w:szCs w:val="24"/>
        </w:rPr>
      </w:pPr>
    </w:p>
    <w:p w:rsidR="00A51120" w:rsidRDefault="007F3A8A"/>
    <w:sectPr w:rsidR="00A51120">
      <w:footerReference w:type="defaul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A8A" w:rsidRDefault="007F3A8A" w:rsidP="00AB050D">
      <w:r>
        <w:separator/>
      </w:r>
    </w:p>
  </w:endnote>
  <w:endnote w:type="continuationSeparator" w:id="0">
    <w:p w:rsidR="007F3A8A" w:rsidRDefault="007F3A8A" w:rsidP="00AB0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Std Book">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564" w:rsidRDefault="00AB050D">
    <w:pPr>
      <w:pStyle w:val="Footer"/>
      <w:jc w:val="center"/>
    </w:pPr>
    <w:r>
      <w:t xml:space="preserve"> - </w:t>
    </w:r>
    <w:r>
      <w:rPr>
        <w:rStyle w:val="PageNumber"/>
      </w:rPr>
      <w:fldChar w:fldCharType="begin"/>
    </w:r>
    <w:r>
      <w:rPr>
        <w:rStyle w:val="PageNumber"/>
      </w:rPr>
      <w:instrText xml:space="preserve"> PAGE </w:instrText>
    </w:r>
    <w:r>
      <w:rPr>
        <w:rStyle w:val="PageNumber"/>
      </w:rPr>
      <w:fldChar w:fldCharType="separate"/>
    </w:r>
    <w:r w:rsidR="009653B1">
      <w:rPr>
        <w:rStyle w:val="PageNumber"/>
        <w:noProof/>
      </w:rPr>
      <w:t>3</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564" w:rsidRPr="0055682F" w:rsidRDefault="007F3A8A" w:rsidP="003E5F5C">
    <w:pPr>
      <w:pStyle w:val="Footer"/>
      <w:jc w:val="center"/>
      <w:rPr>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A8A" w:rsidRDefault="007F3A8A" w:rsidP="00AB050D">
      <w:r>
        <w:separator/>
      </w:r>
    </w:p>
  </w:footnote>
  <w:footnote w:type="continuationSeparator" w:id="0">
    <w:p w:rsidR="007F3A8A" w:rsidRDefault="007F3A8A" w:rsidP="00AB05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B62D8"/>
    <w:multiLevelType w:val="hybridMultilevel"/>
    <w:tmpl w:val="B194F9EA"/>
    <w:lvl w:ilvl="0" w:tplc="4AD2E4D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F10AA5"/>
    <w:multiLevelType w:val="hybridMultilevel"/>
    <w:tmpl w:val="5B4A986A"/>
    <w:lvl w:ilvl="0" w:tplc="CBF04592">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1B1"/>
    <w:rsid w:val="0023245E"/>
    <w:rsid w:val="002571B1"/>
    <w:rsid w:val="002E0B0E"/>
    <w:rsid w:val="002F5102"/>
    <w:rsid w:val="003B4445"/>
    <w:rsid w:val="004839A9"/>
    <w:rsid w:val="0049526E"/>
    <w:rsid w:val="00497B31"/>
    <w:rsid w:val="004D6C54"/>
    <w:rsid w:val="004E72C8"/>
    <w:rsid w:val="00637444"/>
    <w:rsid w:val="006A53E6"/>
    <w:rsid w:val="006E0943"/>
    <w:rsid w:val="00726D96"/>
    <w:rsid w:val="007F3A8A"/>
    <w:rsid w:val="00843947"/>
    <w:rsid w:val="009653B1"/>
    <w:rsid w:val="009E6D23"/>
    <w:rsid w:val="00A0381E"/>
    <w:rsid w:val="00AB050D"/>
    <w:rsid w:val="00AD35EF"/>
    <w:rsid w:val="00AE2A3A"/>
    <w:rsid w:val="00C36CC4"/>
    <w:rsid w:val="00DD4E26"/>
    <w:rsid w:val="00E13798"/>
    <w:rsid w:val="00EE3417"/>
    <w:rsid w:val="00FE1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50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B050D"/>
  </w:style>
  <w:style w:type="character" w:customStyle="1" w:styleId="HeaderChar">
    <w:name w:val="Header Char"/>
    <w:basedOn w:val="DefaultParagraphFont"/>
    <w:link w:val="Header"/>
    <w:rsid w:val="00AB050D"/>
    <w:rPr>
      <w:rFonts w:ascii="Arial" w:eastAsia="Times New Roman" w:hAnsi="Arial" w:cs="Times New Roman"/>
      <w:sz w:val="24"/>
      <w:szCs w:val="20"/>
    </w:rPr>
  </w:style>
  <w:style w:type="paragraph" w:styleId="Footer">
    <w:name w:val="footer"/>
    <w:basedOn w:val="Normal"/>
    <w:link w:val="FooterChar"/>
    <w:rsid w:val="00AB050D"/>
  </w:style>
  <w:style w:type="character" w:customStyle="1" w:styleId="FooterChar">
    <w:name w:val="Footer Char"/>
    <w:basedOn w:val="DefaultParagraphFont"/>
    <w:link w:val="Footer"/>
    <w:rsid w:val="00AB050D"/>
    <w:rPr>
      <w:rFonts w:ascii="Arial" w:eastAsia="Times New Roman" w:hAnsi="Arial" w:cs="Times New Roman"/>
      <w:sz w:val="24"/>
      <w:szCs w:val="20"/>
    </w:rPr>
  </w:style>
  <w:style w:type="character" w:styleId="PageNumber">
    <w:name w:val="page number"/>
    <w:rsid w:val="00AB050D"/>
  </w:style>
  <w:style w:type="paragraph" w:styleId="NoSpacing">
    <w:name w:val="No Spacing"/>
    <w:uiPriority w:val="1"/>
    <w:qFormat/>
    <w:rsid w:val="00AB050D"/>
    <w:pPr>
      <w:spacing w:after="0" w:line="240" w:lineRule="auto"/>
    </w:pPr>
    <w:rPr>
      <w:rFonts w:ascii="Calibri" w:eastAsia="Calibri" w:hAnsi="Calibri" w:cs="Times New Roman"/>
    </w:rPr>
  </w:style>
  <w:style w:type="paragraph" w:styleId="ListParagraph">
    <w:name w:val="List Paragraph"/>
    <w:basedOn w:val="Normal"/>
    <w:uiPriority w:val="34"/>
    <w:qFormat/>
    <w:rsid w:val="00AB050D"/>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rsid w:val="00AB050D"/>
    <w:rPr>
      <w:sz w:val="20"/>
    </w:rPr>
  </w:style>
  <w:style w:type="character" w:customStyle="1" w:styleId="FootnoteTextChar">
    <w:name w:val="Footnote Text Char"/>
    <w:basedOn w:val="DefaultParagraphFont"/>
    <w:link w:val="FootnoteText"/>
    <w:rsid w:val="00AB050D"/>
    <w:rPr>
      <w:rFonts w:ascii="Arial" w:eastAsia="Times New Roman" w:hAnsi="Arial" w:cs="Times New Roman"/>
      <w:sz w:val="20"/>
      <w:szCs w:val="20"/>
    </w:rPr>
  </w:style>
  <w:style w:type="character" w:styleId="FootnoteReference">
    <w:name w:val="footnote reference"/>
    <w:rsid w:val="00AB050D"/>
    <w:rPr>
      <w:vertAlign w:val="superscript"/>
    </w:rPr>
  </w:style>
  <w:style w:type="table" w:styleId="TableGrid">
    <w:name w:val="Table Grid"/>
    <w:basedOn w:val="TableNormal"/>
    <w:uiPriority w:val="59"/>
    <w:rsid w:val="00AB05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B050D"/>
    <w:rPr>
      <w:color w:val="0000FF"/>
      <w:u w:val="single"/>
    </w:rPr>
  </w:style>
  <w:style w:type="character" w:customStyle="1" w:styleId="A6">
    <w:name w:val="A6"/>
    <w:uiPriority w:val="99"/>
    <w:rsid w:val="00AB050D"/>
    <w:rPr>
      <w:rFonts w:cs="Futura Std Book"/>
      <w:color w:val="000000"/>
      <w:sz w:val="14"/>
      <w:szCs w:val="14"/>
    </w:rPr>
  </w:style>
  <w:style w:type="character" w:customStyle="1" w:styleId="legds2">
    <w:name w:val="legds2"/>
    <w:rsid w:val="00AB050D"/>
    <w:rPr>
      <w:vanish w:val="0"/>
      <w:webHidden w:val="0"/>
      <w:specVanish w:val="0"/>
    </w:rPr>
  </w:style>
  <w:style w:type="paragraph" w:styleId="BalloonText">
    <w:name w:val="Balloon Text"/>
    <w:basedOn w:val="Normal"/>
    <w:link w:val="BalloonTextChar"/>
    <w:uiPriority w:val="99"/>
    <w:semiHidden/>
    <w:unhideWhenUsed/>
    <w:rsid w:val="00AB050D"/>
    <w:rPr>
      <w:rFonts w:ascii="Tahoma" w:hAnsi="Tahoma" w:cs="Tahoma"/>
      <w:sz w:val="16"/>
      <w:szCs w:val="16"/>
    </w:rPr>
  </w:style>
  <w:style w:type="character" w:customStyle="1" w:styleId="BalloonTextChar">
    <w:name w:val="Balloon Text Char"/>
    <w:basedOn w:val="DefaultParagraphFont"/>
    <w:link w:val="BalloonText"/>
    <w:uiPriority w:val="99"/>
    <w:semiHidden/>
    <w:rsid w:val="00AB050D"/>
    <w:rPr>
      <w:rFonts w:ascii="Tahoma" w:eastAsia="Times New Roman" w:hAnsi="Tahoma" w:cs="Tahoma"/>
      <w:sz w:val="16"/>
      <w:szCs w:val="16"/>
    </w:rPr>
  </w:style>
  <w:style w:type="paragraph" w:customStyle="1" w:styleId="Pa12">
    <w:name w:val="Pa12"/>
    <w:basedOn w:val="Normal"/>
    <w:next w:val="Normal"/>
    <w:uiPriority w:val="99"/>
    <w:rsid w:val="00AE2A3A"/>
    <w:pPr>
      <w:autoSpaceDE w:val="0"/>
      <w:autoSpaceDN w:val="0"/>
      <w:adjustRightInd w:val="0"/>
      <w:spacing w:line="241" w:lineRule="atLeast"/>
    </w:pPr>
    <w:rPr>
      <w:rFonts w:ascii="Futura Std Book" w:eastAsiaTheme="minorHAnsi" w:hAnsi="Futura Std Book" w:cstheme="minorBid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50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B050D"/>
  </w:style>
  <w:style w:type="character" w:customStyle="1" w:styleId="HeaderChar">
    <w:name w:val="Header Char"/>
    <w:basedOn w:val="DefaultParagraphFont"/>
    <w:link w:val="Header"/>
    <w:rsid w:val="00AB050D"/>
    <w:rPr>
      <w:rFonts w:ascii="Arial" w:eastAsia="Times New Roman" w:hAnsi="Arial" w:cs="Times New Roman"/>
      <w:sz w:val="24"/>
      <w:szCs w:val="20"/>
    </w:rPr>
  </w:style>
  <w:style w:type="paragraph" w:styleId="Footer">
    <w:name w:val="footer"/>
    <w:basedOn w:val="Normal"/>
    <w:link w:val="FooterChar"/>
    <w:rsid w:val="00AB050D"/>
  </w:style>
  <w:style w:type="character" w:customStyle="1" w:styleId="FooterChar">
    <w:name w:val="Footer Char"/>
    <w:basedOn w:val="DefaultParagraphFont"/>
    <w:link w:val="Footer"/>
    <w:rsid w:val="00AB050D"/>
    <w:rPr>
      <w:rFonts w:ascii="Arial" w:eastAsia="Times New Roman" w:hAnsi="Arial" w:cs="Times New Roman"/>
      <w:sz w:val="24"/>
      <w:szCs w:val="20"/>
    </w:rPr>
  </w:style>
  <w:style w:type="character" w:styleId="PageNumber">
    <w:name w:val="page number"/>
    <w:rsid w:val="00AB050D"/>
  </w:style>
  <w:style w:type="paragraph" w:styleId="NoSpacing">
    <w:name w:val="No Spacing"/>
    <w:uiPriority w:val="1"/>
    <w:qFormat/>
    <w:rsid w:val="00AB050D"/>
    <w:pPr>
      <w:spacing w:after="0" w:line="240" w:lineRule="auto"/>
    </w:pPr>
    <w:rPr>
      <w:rFonts w:ascii="Calibri" w:eastAsia="Calibri" w:hAnsi="Calibri" w:cs="Times New Roman"/>
    </w:rPr>
  </w:style>
  <w:style w:type="paragraph" w:styleId="ListParagraph">
    <w:name w:val="List Paragraph"/>
    <w:basedOn w:val="Normal"/>
    <w:uiPriority w:val="34"/>
    <w:qFormat/>
    <w:rsid w:val="00AB050D"/>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rsid w:val="00AB050D"/>
    <w:rPr>
      <w:sz w:val="20"/>
    </w:rPr>
  </w:style>
  <w:style w:type="character" w:customStyle="1" w:styleId="FootnoteTextChar">
    <w:name w:val="Footnote Text Char"/>
    <w:basedOn w:val="DefaultParagraphFont"/>
    <w:link w:val="FootnoteText"/>
    <w:rsid w:val="00AB050D"/>
    <w:rPr>
      <w:rFonts w:ascii="Arial" w:eastAsia="Times New Roman" w:hAnsi="Arial" w:cs="Times New Roman"/>
      <w:sz w:val="20"/>
      <w:szCs w:val="20"/>
    </w:rPr>
  </w:style>
  <w:style w:type="character" w:styleId="FootnoteReference">
    <w:name w:val="footnote reference"/>
    <w:rsid w:val="00AB050D"/>
    <w:rPr>
      <w:vertAlign w:val="superscript"/>
    </w:rPr>
  </w:style>
  <w:style w:type="table" w:styleId="TableGrid">
    <w:name w:val="Table Grid"/>
    <w:basedOn w:val="TableNormal"/>
    <w:uiPriority w:val="59"/>
    <w:rsid w:val="00AB05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B050D"/>
    <w:rPr>
      <w:color w:val="0000FF"/>
      <w:u w:val="single"/>
    </w:rPr>
  </w:style>
  <w:style w:type="character" w:customStyle="1" w:styleId="A6">
    <w:name w:val="A6"/>
    <w:uiPriority w:val="99"/>
    <w:rsid w:val="00AB050D"/>
    <w:rPr>
      <w:rFonts w:cs="Futura Std Book"/>
      <w:color w:val="000000"/>
      <w:sz w:val="14"/>
      <w:szCs w:val="14"/>
    </w:rPr>
  </w:style>
  <w:style w:type="character" w:customStyle="1" w:styleId="legds2">
    <w:name w:val="legds2"/>
    <w:rsid w:val="00AB050D"/>
    <w:rPr>
      <w:vanish w:val="0"/>
      <w:webHidden w:val="0"/>
      <w:specVanish w:val="0"/>
    </w:rPr>
  </w:style>
  <w:style w:type="paragraph" w:styleId="BalloonText">
    <w:name w:val="Balloon Text"/>
    <w:basedOn w:val="Normal"/>
    <w:link w:val="BalloonTextChar"/>
    <w:uiPriority w:val="99"/>
    <w:semiHidden/>
    <w:unhideWhenUsed/>
    <w:rsid w:val="00AB050D"/>
    <w:rPr>
      <w:rFonts w:ascii="Tahoma" w:hAnsi="Tahoma" w:cs="Tahoma"/>
      <w:sz w:val="16"/>
      <w:szCs w:val="16"/>
    </w:rPr>
  </w:style>
  <w:style w:type="character" w:customStyle="1" w:styleId="BalloonTextChar">
    <w:name w:val="Balloon Text Char"/>
    <w:basedOn w:val="DefaultParagraphFont"/>
    <w:link w:val="BalloonText"/>
    <w:uiPriority w:val="99"/>
    <w:semiHidden/>
    <w:rsid w:val="00AB050D"/>
    <w:rPr>
      <w:rFonts w:ascii="Tahoma" w:eastAsia="Times New Roman" w:hAnsi="Tahoma" w:cs="Tahoma"/>
      <w:sz w:val="16"/>
      <w:szCs w:val="16"/>
    </w:rPr>
  </w:style>
  <w:style w:type="paragraph" w:customStyle="1" w:styleId="Pa12">
    <w:name w:val="Pa12"/>
    <w:basedOn w:val="Normal"/>
    <w:next w:val="Normal"/>
    <w:uiPriority w:val="99"/>
    <w:rsid w:val="00AE2A3A"/>
    <w:pPr>
      <w:autoSpaceDE w:val="0"/>
      <w:autoSpaceDN w:val="0"/>
      <w:adjustRightInd w:val="0"/>
      <w:spacing w:line="241" w:lineRule="atLeast"/>
    </w:pPr>
    <w:rPr>
      <w:rFonts w:ascii="Futura Std Book" w:eastAsiaTheme="minorHAnsi" w:hAnsi="Futura Std Book"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3999">
      <w:bodyDiv w:val="1"/>
      <w:marLeft w:val="0"/>
      <w:marRight w:val="0"/>
      <w:marTop w:val="0"/>
      <w:marBottom w:val="0"/>
      <w:divBdr>
        <w:top w:val="none" w:sz="0" w:space="0" w:color="auto"/>
        <w:left w:val="none" w:sz="0" w:space="0" w:color="auto"/>
        <w:bottom w:val="none" w:sz="0" w:space="0" w:color="auto"/>
        <w:right w:val="none" w:sz="0" w:space="0" w:color="auto"/>
      </w:divBdr>
    </w:div>
    <w:div w:id="163205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94C7D-84AD-4704-8EFF-83B4FBF5A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Vale of Glamorgan Council</Company>
  <LinksUpToDate>false</LinksUpToDate>
  <CharactersWithSpaces>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Peter DJ</dc:creator>
  <cp:keywords/>
  <dc:description/>
  <cp:lastModifiedBy>Thomas, Peter DJ</cp:lastModifiedBy>
  <cp:revision>5</cp:revision>
  <dcterms:created xsi:type="dcterms:W3CDTF">2017-02-15T12:46:00Z</dcterms:created>
  <dcterms:modified xsi:type="dcterms:W3CDTF">2017-03-22T15:57:00Z</dcterms:modified>
</cp:coreProperties>
</file>