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835"/>
      </w:tblGrid>
      <w:tr w:rsidR="006F38EA" w:rsidRPr="00063A0C" w:rsidTr="006F38EA">
        <w:tc>
          <w:tcPr>
            <w:tcW w:w="6947" w:type="dxa"/>
          </w:tcPr>
          <w:p w:rsidR="006F38EA" w:rsidRPr="006F38EA" w:rsidRDefault="006F38EA" w:rsidP="006F38EA">
            <w:pPr>
              <w:rPr>
                <w:szCs w:val="20"/>
                <w:lang w:eastAsia="en-US"/>
              </w:rPr>
            </w:pPr>
            <w:r w:rsidRPr="006F38EA">
              <w:rPr>
                <w:sz w:val="52"/>
                <w:szCs w:val="20"/>
                <w:lang w:eastAsia="en-US"/>
              </w:rPr>
              <w:t>MEMORANDUM / COFNOD</w:t>
            </w:r>
          </w:p>
          <w:p w:rsidR="006F38EA" w:rsidRPr="006F38EA" w:rsidRDefault="006F38EA" w:rsidP="006F38EA">
            <w:pPr>
              <w:rPr>
                <w:sz w:val="16"/>
                <w:szCs w:val="20"/>
                <w:lang w:eastAsia="en-US"/>
              </w:rPr>
            </w:pPr>
          </w:p>
          <w:p w:rsidR="006F38EA" w:rsidRPr="006F38EA" w:rsidRDefault="006F38EA" w:rsidP="006F38EA">
            <w:pPr>
              <w:rPr>
                <w:sz w:val="16"/>
                <w:szCs w:val="20"/>
                <w:lang w:eastAsia="en-US"/>
              </w:rPr>
            </w:pPr>
            <w:r w:rsidRPr="006F38EA">
              <w:rPr>
                <w:sz w:val="16"/>
                <w:szCs w:val="20"/>
                <w:lang w:eastAsia="en-US"/>
              </w:rPr>
              <w:t>The Vale of Glamorgan Council</w:t>
            </w:r>
          </w:p>
          <w:p w:rsidR="006F38EA" w:rsidRPr="006F38EA" w:rsidRDefault="006F38EA" w:rsidP="006F38EA">
            <w:pPr>
              <w:rPr>
                <w:sz w:val="52"/>
                <w:szCs w:val="20"/>
                <w:lang w:eastAsia="en-US"/>
              </w:rPr>
            </w:pPr>
          </w:p>
        </w:tc>
        <w:tc>
          <w:tcPr>
            <w:tcW w:w="2835" w:type="dxa"/>
          </w:tcPr>
          <w:p w:rsidR="006F38EA" w:rsidRPr="006F38EA" w:rsidRDefault="00730CAC" w:rsidP="006F38EA">
            <w:pPr>
              <w:jc w:val="center"/>
              <w:rPr>
                <w:sz w:val="52"/>
                <w:szCs w:val="20"/>
                <w:lang w:eastAsia="en-US"/>
              </w:rPr>
            </w:pPr>
            <w:r>
              <w:rPr>
                <w:noProof/>
                <w:szCs w:val="20"/>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c>
      </w:tr>
    </w:tbl>
    <w:p w:rsidR="006F38EA" w:rsidRPr="006F38EA" w:rsidRDefault="006F38EA" w:rsidP="006F38EA">
      <w:pPr>
        <w:rPr>
          <w:szCs w:val="20"/>
          <w:lang w:eastAsia="en-US"/>
        </w:rPr>
      </w:pPr>
    </w:p>
    <w:tbl>
      <w:tblPr>
        <w:tblW w:w="9958" w:type="dxa"/>
        <w:jc w:val="center"/>
        <w:tblLayout w:type="fixed"/>
        <w:tblCellMar>
          <w:left w:w="107" w:type="dxa"/>
          <w:right w:w="107" w:type="dxa"/>
        </w:tblCellMar>
        <w:tblLook w:val="0000" w:firstRow="0" w:lastRow="0" w:firstColumn="0" w:lastColumn="0" w:noHBand="0" w:noVBand="0"/>
      </w:tblPr>
      <w:tblGrid>
        <w:gridCol w:w="1790"/>
        <w:gridCol w:w="3065"/>
        <w:gridCol w:w="234"/>
        <w:gridCol w:w="1662"/>
        <w:gridCol w:w="3207"/>
      </w:tblGrid>
      <w:tr w:rsidR="006F38EA" w:rsidRPr="006F38EA" w:rsidTr="00C87E33">
        <w:trPr>
          <w:jc w:val="center"/>
        </w:trPr>
        <w:tc>
          <w:tcPr>
            <w:tcW w:w="1790" w:type="dxa"/>
            <w:tcBorders>
              <w:top w:val="single" w:sz="6" w:space="0" w:color="auto"/>
              <w:left w:val="single" w:sz="6" w:space="0" w:color="auto"/>
            </w:tcBorders>
          </w:tcPr>
          <w:p w:rsidR="006F38EA" w:rsidRPr="006F38EA" w:rsidRDefault="006F38EA" w:rsidP="006F38EA">
            <w:pPr>
              <w:rPr>
                <w:sz w:val="16"/>
                <w:szCs w:val="20"/>
                <w:lang w:eastAsia="en-US"/>
              </w:rPr>
            </w:pPr>
            <w:r w:rsidRPr="006F38EA">
              <w:rPr>
                <w:sz w:val="16"/>
                <w:szCs w:val="20"/>
                <w:lang w:eastAsia="en-US"/>
              </w:rPr>
              <w:t>To / I:</w:t>
            </w:r>
          </w:p>
        </w:tc>
        <w:tc>
          <w:tcPr>
            <w:tcW w:w="3065" w:type="dxa"/>
            <w:tcBorders>
              <w:top w:val="single" w:sz="6" w:space="0" w:color="auto"/>
              <w:right w:val="single" w:sz="6" w:space="0" w:color="auto"/>
            </w:tcBorders>
          </w:tcPr>
          <w:p w:rsidR="00730CAC" w:rsidRPr="006F38EA" w:rsidRDefault="00730CAC" w:rsidP="00730CAC">
            <w:pPr>
              <w:rPr>
                <w:sz w:val="22"/>
                <w:szCs w:val="20"/>
                <w:lang w:eastAsia="en-US"/>
              </w:rPr>
            </w:pPr>
            <w:r w:rsidRPr="006F38EA">
              <w:rPr>
                <w:sz w:val="22"/>
                <w:szCs w:val="20"/>
                <w:lang w:eastAsia="en-US"/>
              </w:rPr>
              <w:t>Development Services</w:t>
            </w:r>
          </w:p>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top w:val="single" w:sz="6" w:space="0" w:color="auto"/>
              <w:left w:val="single" w:sz="6" w:space="0" w:color="auto"/>
            </w:tcBorders>
          </w:tcPr>
          <w:p w:rsidR="006F38EA" w:rsidRPr="006F38EA" w:rsidRDefault="006F38EA" w:rsidP="00730CAC">
            <w:pPr>
              <w:rPr>
                <w:sz w:val="16"/>
                <w:szCs w:val="20"/>
                <w:lang w:eastAsia="en-US"/>
              </w:rPr>
            </w:pPr>
            <w:r w:rsidRPr="006F38EA">
              <w:rPr>
                <w:sz w:val="16"/>
                <w:szCs w:val="20"/>
                <w:lang w:eastAsia="en-US"/>
              </w:rPr>
              <w:t xml:space="preserve">From / </w:t>
            </w:r>
            <w:proofErr w:type="spellStart"/>
            <w:r w:rsidRPr="006F38EA">
              <w:rPr>
                <w:sz w:val="16"/>
                <w:szCs w:val="20"/>
                <w:lang w:eastAsia="en-US"/>
              </w:rPr>
              <w:t>Oddi</w:t>
            </w:r>
            <w:proofErr w:type="spellEnd"/>
            <w:r w:rsidRPr="006F38EA">
              <w:rPr>
                <w:sz w:val="16"/>
                <w:szCs w:val="20"/>
                <w:lang w:eastAsia="en-US"/>
              </w:rPr>
              <w:t xml:space="preserve"> </w:t>
            </w:r>
            <w:proofErr w:type="spellStart"/>
            <w:r w:rsidRPr="006F38EA">
              <w:rPr>
                <w:sz w:val="16"/>
                <w:szCs w:val="20"/>
                <w:lang w:eastAsia="en-US"/>
              </w:rPr>
              <w:t>Wrth</w:t>
            </w:r>
            <w:proofErr w:type="spellEnd"/>
            <w:r w:rsidRPr="006F38EA">
              <w:rPr>
                <w:sz w:val="16"/>
                <w:szCs w:val="20"/>
                <w:lang w:eastAsia="en-US"/>
              </w:rPr>
              <w:t>:</w:t>
            </w:r>
            <w:r w:rsidR="00730CAC" w:rsidRPr="006F38EA">
              <w:rPr>
                <w:sz w:val="22"/>
                <w:szCs w:val="20"/>
                <w:lang w:eastAsia="en-US"/>
              </w:rPr>
              <w:t xml:space="preserve"> </w:t>
            </w:r>
          </w:p>
        </w:tc>
        <w:tc>
          <w:tcPr>
            <w:tcW w:w="3207" w:type="dxa"/>
            <w:tcBorders>
              <w:top w:val="single" w:sz="6" w:space="0" w:color="auto"/>
              <w:right w:val="single" w:sz="6" w:space="0" w:color="auto"/>
            </w:tcBorders>
          </w:tcPr>
          <w:p w:rsidR="006F38EA" w:rsidRPr="006F38EA" w:rsidRDefault="00FA1854" w:rsidP="00730CAC">
            <w:pPr>
              <w:rPr>
                <w:sz w:val="22"/>
                <w:szCs w:val="20"/>
                <w:lang w:eastAsia="en-US"/>
              </w:rPr>
            </w:pPr>
            <w:r>
              <w:rPr>
                <w:sz w:val="22"/>
                <w:szCs w:val="20"/>
                <w:lang w:eastAsia="en-US"/>
              </w:rPr>
              <w:t>Elisa Faulkner – Affordable Housing Enabler</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roofErr w:type="spellStart"/>
            <w:r w:rsidRPr="006F38EA">
              <w:rPr>
                <w:sz w:val="16"/>
                <w:szCs w:val="20"/>
                <w:lang w:eastAsia="en-US"/>
              </w:rPr>
              <w:t>Dept</w:t>
            </w:r>
            <w:proofErr w:type="spellEnd"/>
            <w:r w:rsidRPr="006F38EA">
              <w:rPr>
                <w:sz w:val="16"/>
                <w:szCs w:val="20"/>
                <w:lang w:eastAsia="en-US"/>
              </w:rPr>
              <w:t xml:space="preserve"> / </w:t>
            </w:r>
            <w:proofErr w:type="spellStart"/>
            <w:r w:rsidRPr="006F38EA">
              <w:rPr>
                <w:sz w:val="16"/>
                <w:szCs w:val="20"/>
                <w:lang w:eastAsia="en-US"/>
              </w:rPr>
              <w:t>Adran</w:t>
            </w:r>
            <w:proofErr w:type="spellEnd"/>
            <w:r w:rsidRPr="006F38EA">
              <w:rPr>
                <w:sz w:val="16"/>
                <w:szCs w:val="20"/>
                <w:lang w:eastAsia="en-US"/>
              </w:rPr>
              <w:t>:</w:t>
            </w:r>
          </w:p>
        </w:tc>
        <w:tc>
          <w:tcPr>
            <w:tcW w:w="3065" w:type="dxa"/>
            <w:tcBorders>
              <w:right w:val="single" w:sz="6" w:space="0" w:color="auto"/>
            </w:tcBorders>
          </w:tcPr>
          <w:p w:rsidR="006F38EA" w:rsidRDefault="00C87E33" w:rsidP="006F38EA">
            <w:pPr>
              <w:rPr>
                <w:sz w:val="22"/>
                <w:szCs w:val="20"/>
                <w:lang w:eastAsia="en-US"/>
              </w:rPr>
            </w:pPr>
            <w:r>
              <w:rPr>
                <w:sz w:val="22"/>
                <w:szCs w:val="20"/>
                <w:lang w:eastAsia="en-US"/>
              </w:rPr>
              <w:t>Development Services</w:t>
            </w:r>
          </w:p>
          <w:p w:rsidR="00C87E33" w:rsidRDefault="00C87E33" w:rsidP="006F38EA">
            <w:pPr>
              <w:rPr>
                <w:sz w:val="22"/>
                <w:szCs w:val="20"/>
                <w:lang w:eastAsia="en-US"/>
              </w:rPr>
            </w:pPr>
            <w:r>
              <w:rPr>
                <w:sz w:val="22"/>
                <w:szCs w:val="20"/>
                <w:lang w:eastAsia="en-US"/>
              </w:rPr>
              <w:t xml:space="preserve">Docks Office, </w:t>
            </w:r>
          </w:p>
          <w:p w:rsidR="00C87E33" w:rsidRPr="006F38EA" w:rsidRDefault="00C87E33"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p>
        </w:tc>
        <w:tc>
          <w:tcPr>
            <w:tcW w:w="3207" w:type="dxa"/>
            <w:tcBorders>
              <w:right w:val="single" w:sz="6" w:space="0" w:color="auto"/>
            </w:tcBorders>
          </w:tcPr>
          <w:p w:rsidR="00C87E33" w:rsidRDefault="00C87E33" w:rsidP="00C87E33">
            <w:pPr>
              <w:rPr>
                <w:sz w:val="22"/>
                <w:szCs w:val="20"/>
                <w:lang w:eastAsia="en-US"/>
              </w:rPr>
            </w:pPr>
            <w:r w:rsidRPr="006F38EA">
              <w:rPr>
                <w:sz w:val="22"/>
                <w:szCs w:val="20"/>
                <w:lang w:eastAsia="en-US"/>
              </w:rPr>
              <w:t>Public Sector Housing,</w:t>
            </w:r>
            <w:r w:rsidR="00C94D0C">
              <w:rPr>
                <w:sz w:val="22"/>
                <w:szCs w:val="20"/>
                <w:lang w:eastAsia="en-US"/>
              </w:rPr>
              <w:t xml:space="preserve"> </w:t>
            </w:r>
          </w:p>
          <w:p w:rsidR="00365409" w:rsidRDefault="00365409" w:rsidP="00C87E33">
            <w:pPr>
              <w:rPr>
                <w:sz w:val="22"/>
                <w:szCs w:val="20"/>
                <w:lang w:eastAsia="en-US"/>
              </w:rPr>
            </w:pPr>
            <w:r>
              <w:rPr>
                <w:sz w:val="22"/>
                <w:szCs w:val="20"/>
                <w:lang w:eastAsia="en-US"/>
              </w:rPr>
              <w:t>Civic Offices</w:t>
            </w:r>
          </w:p>
          <w:p w:rsidR="00365409" w:rsidRDefault="00365409" w:rsidP="00C87E33">
            <w:pPr>
              <w:rPr>
                <w:sz w:val="22"/>
                <w:szCs w:val="20"/>
                <w:lang w:eastAsia="en-US"/>
              </w:rPr>
            </w:pPr>
            <w:r>
              <w:rPr>
                <w:sz w:val="22"/>
                <w:szCs w:val="20"/>
                <w:lang w:eastAsia="en-US"/>
              </w:rPr>
              <w:t>Holton Road</w:t>
            </w:r>
          </w:p>
          <w:p w:rsidR="00365409" w:rsidRPr="006F38EA" w:rsidRDefault="00365409" w:rsidP="00C87E33">
            <w:pPr>
              <w:rPr>
                <w:sz w:val="22"/>
                <w:szCs w:val="20"/>
                <w:lang w:eastAsia="en-US"/>
              </w:rPr>
            </w:pPr>
            <w:r>
              <w:rPr>
                <w:sz w:val="22"/>
                <w:szCs w:val="20"/>
                <w:lang w:eastAsia="en-US"/>
              </w:rPr>
              <w:t>Barry</w:t>
            </w:r>
          </w:p>
          <w:p w:rsidR="006F38EA" w:rsidRPr="006F38EA" w:rsidRDefault="00365409" w:rsidP="00C87E33">
            <w:pPr>
              <w:rPr>
                <w:sz w:val="22"/>
                <w:szCs w:val="20"/>
                <w:lang w:eastAsia="en-US"/>
              </w:rPr>
            </w:pPr>
            <w:r>
              <w:rPr>
                <w:sz w:val="22"/>
                <w:szCs w:val="20"/>
                <w:lang w:eastAsia="en-US"/>
              </w:rPr>
              <w:t>CF63 4RU</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
        </w:tc>
        <w:tc>
          <w:tcPr>
            <w:tcW w:w="3065" w:type="dxa"/>
            <w:tcBorders>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My Ref / </w:t>
            </w:r>
            <w:proofErr w:type="spellStart"/>
            <w:r w:rsidRPr="006F38EA">
              <w:rPr>
                <w:sz w:val="16"/>
                <w:szCs w:val="20"/>
                <w:lang w:eastAsia="en-US"/>
              </w:rPr>
              <w:t>Fy</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p>
        </w:tc>
        <w:tc>
          <w:tcPr>
            <w:tcW w:w="3207" w:type="dxa"/>
            <w:tcBorders>
              <w:right w:val="single" w:sz="6" w:space="0" w:color="auto"/>
            </w:tcBorders>
          </w:tcPr>
          <w:p w:rsidR="006F38EA" w:rsidRPr="006F38EA" w:rsidRDefault="006F38EA" w:rsidP="00C87E33">
            <w:pPr>
              <w:rPr>
                <w:sz w:val="22"/>
                <w:szCs w:val="20"/>
                <w:lang w:eastAsia="en-US"/>
              </w:rPr>
            </w:pP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Date / </w:t>
            </w:r>
            <w:proofErr w:type="spellStart"/>
            <w:r w:rsidRPr="006F38EA">
              <w:rPr>
                <w:sz w:val="16"/>
                <w:szCs w:val="20"/>
                <w:lang w:eastAsia="en-US"/>
              </w:rPr>
              <w:t>Dyddiad</w:t>
            </w:r>
            <w:proofErr w:type="spellEnd"/>
            <w:r w:rsidRPr="006F38EA">
              <w:rPr>
                <w:sz w:val="16"/>
                <w:szCs w:val="20"/>
                <w:lang w:eastAsia="en-US"/>
              </w:rPr>
              <w:t>:</w:t>
            </w:r>
          </w:p>
        </w:tc>
        <w:tc>
          <w:tcPr>
            <w:tcW w:w="3065" w:type="dxa"/>
            <w:tcBorders>
              <w:right w:val="single" w:sz="6" w:space="0" w:color="auto"/>
            </w:tcBorders>
          </w:tcPr>
          <w:p w:rsidR="006F38EA" w:rsidRPr="006F38EA" w:rsidRDefault="00DE6B53" w:rsidP="00DF7234">
            <w:pPr>
              <w:rPr>
                <w:sz w:val="22"/>
                <w:szCs w:val="20"/>
                <w:lang w:eastAsia="en-US"/>
              </w:rPr>
            </w:pPr>
            <w:r>
              <w:rPr>
                <w:sz w:val="22"/>
                <w:szCs w:val="20"/>
                <w:lang w:eastAsia="en-US"/>
              </w:rPr>
              <w:t>1</w:t>
            </w:r>
            <w:r w:rsidR="00DF7234">
              <w:rPr>
                <w:sz w:val="22"/>
                <w:szCs w:val="20"/>
                <w:lang w:eastAsia="en-US"/>
              </w:rPr>
              <w:t>7</w:t>
            </w:r>
            <w:bookmarkStart w:id="0" w:name="_GoBack"/>
            <w:bookmarkEnd w:id="0"/>
            <w:r w:rsidR="008D6D6C">
              <w:rPr>
                <w:sz w:val="22"/>
                <w:szCs w:val="20"/>
                <w:lang w:eastAsia="en-US"/>
              </w:rPr>
              <w:t>/0</w:t>
            </w:r>
            <w:r>
              <w:rPr>
                <w:sz w:val="22"/>
                <w:szCs w:val="20"/>
                <w:lang w:eastAsia="en-US"/>
              </w:rPr>
              <w:t>8</w:t>
            </w:r>
            <w:r w:rsidR="008D6D6C">
              <w:rPr>
                <w:sz w:val="22"/>
                <w:szCs w:val="20"/>
                <w:lang w:eastAsia="en-US"/>
              </w:rPr>
              <w:t>/15</w:t>
            </w: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Tel / </w:t>
            </w:r>
            <w:proofErr w:type="spellStart"/>
            <w:r w:rsidRPr="006F38EA">
              <w:rPr>
                <w:sz w:val="16"/>
                <w:szCs w:val="20"/>
                <w:lang w:eastAsia="en-US"/>
              </w:rPr>
              <w:t>Ffôn</w:t>
            </w:r>
            <w:proofErr w:type="spellEnd"/>
            <w:r w:rsidRPr="006F38EA">
              <w:rPr>
                <w:sz w:val="16"/>
                <w:szCs w:val="20"/>
                <w:lang w:eastAsia="en-US"/>
              </w:rPr>
              <w:t>:</w:t>
            </w:r>
          </w:p>
        </w:tc>
        <w:tc>
          <w:tcPr>
            <w:tcW w:w="3207" w:type="dxa"/>
            <w:tcBorders>
              <w:right w:val="single" w:sz="6" w:space="0" w:color="auto"/>
            </w:tcBorders>
          </w:tcPr>
          <w:p w:rsidR="006F38EA" w:rsidRPr="006F38EA" w:rsidRDefault="006A3AD4" w:rsidP="006F38EA">
            <w:pPr>
              <w:rPr>
                <w:sz w:val="22"/>
                <w:szCs w:val="20"/>
                <w:lang w:eastAsia="en-US"/>
              </w:rPr>
            </w:pPr>
            <w:r>
              <w:rPr>
                <w:sz w:val="22"/>
                <w:szCs w:val="20"/>
                <w:lang w:eastAsia="en-US"/>
              </w:rPr>
              <w:t xml:space="preserve">01446 709 </w:t>
            </w:r>
            <w:r w:rsidR="00FA1854">
              <w:rPr>
                <w:sz w:val="22"/>
                <w:szCs w:val="20"/>
                <w:lang w:eastAsia="en-US"/>
              </w:rPr>
              <w:t>237</w:t>
            </w:r>
          </w:p>
        </w:tc>
      </w:tr>
      <w:tr w:rsidR="006F38EA" w:rsidRPr="006F38EA" w:rsidTr="00C87E33">
        <w:trPr>
          <w:jc w:val="center"/>
        </w:trPr>
        <w:tc>
          <w:tcPr>
            <w:tcW w:w="1790"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Your Ref / </w:t>
            </w:r>
            <w:proofErr w:type="spellStart"/>
            <w:r w:rsidRPr="006F38EA">
              <w:rPr>
                <w:sz w:val="16"/>
                <w:szCs w:val="20"/>
                <w:lang w:eastAsia="en-US"/>
              </w:rPr>
              <w:t>Eich</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r w:rsidR="009B4FAE">
              <w:rPr>
                <w:sz w:val="16"/>
                <w:szCs w:val="20"/>
                <w:lang w:eastAsia="en-US"/>
              </w:rPr>
              <w:t xml:space="preserve"> </w:t>
            </w:r>
          </w:p>
        </w:tc>
        <w:tc>
          <w:tcPr>
            <w:tcW w:w="3065" w:type="dxa"/>
            <w:tcBorders>
              <w:bottom w:val="single" w:sz="6" w:space="0" w:color="auto"/>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Fax / </w:t>
            </w:r>
            <w:proofErr w:type="spellStart"/>
            <w:r w:rsidRPr="006F38EA">
              <w:rPr>
                <w:sz w:val="16"/>
                <w:szCs w:val="20"/>
                <w:lang w:eastAsia="en-US"/>
              </w:rPr>
              <w:t>Ffacs</w:t>
            </w:r>
            <w:proofErr w:type="spellEnd"/>
            <w:r w:rsidRPr="006F38EA">
              <w:rPr>
                <w:sz w:val="16"/>
                <w:szCs w:val="20"/>
                <w:lang w:eastAsia="en-US"/>
              </w:rPr>
              <w:t>:</w:t>
            </w:r>
          </w:p>
        </w:tc>
        <w:tc>
          <w:tcPr>
            <w:tcW w:w="3207" w:type="dxa"/>
            <w:tcBorders>
              <w:bottom w:val="single" w:sz="6" w:space="0" w:color="auto"/>
              <w:right w:val="single" w:sz="6" w:space="0" w:color="auto"/>
            </w:tcBorders>
          </w:tcPr>
          <w:p w:rsidR="006F38EA" w:rsidRPr="006F38EA" w:rsidRDefault="006A3AD4" w:rsidP="006F38EA">
            <w:pPr>
              <w:rPr>
                <w:sz w:val="22"/>
                <w:szCs w:val="20"/>
                <w:lang w:eastAsia="en-US"/>
              </w:rPr>
            </w:pPr>
            <w:r>
              <w:rPr>
                <w:sz w:val="22"/>
                <w:szCs w:val="20"/>
                <w:lang w:eastAsia="en-US"/>
              </w:rPr>
              <w:t>01446 709 841</w:t>
            </w:r>
          </w:p>
        </w:tc>
      </w:tr>
    </w:tbl>
    <w:p w:rsidR="00C87E33" w:rsidRDefault="00C87E33"/>
    <w:p w:rsidR="00C87E33" w:rsidRDefault="00C87E33" w:rsidP="00C87E33">
      <w:pPr>
        <w:tabs>
          <w:tab w:val="left" w:pos="0"/>
          <w:tab w:val="left" w:pos="2302"/>
        </w:tabs>
        <w:ind w:left="-360"/>
      </w:pPr>
    </w:p>
    <w:tbl>
      <w:tblPr>
        <w:tblStyle w:val="TableGrid"/>
        <w:tblW w:w="10008" w:type="dxa"/>
        <w:tblInd w:w="-360" w:type="dxa"/>
        <w:tblLook w:val="04A0" w:firstRow="1" w:lastRow="0" w:firstColumn="1" w:lastColumn="0" w:noHBand="0" w:noVBand="1"/>
      </w:tblPr>
      <w:tblGrid>
        <w:gridCol w:w="4968"/>
        <w:gridCol w:w="5040"/>
      </w:tblGrid>
      <w:tr w:rsidR="00C87E33" w:rsidTr="00C87E33">
        <w:tc>
          <w:tcPr>
            <w:tcW w:w="4968" w:type="dxa"/>
          </w:tcPr>
          <w:p w:rsidR="00C87E33" w:rsidRPr="00C87E33" w:rsidRDefault="00C87E33" w:rsidP="00C87E33">
            <w:pPr>
              <w:tabs>
                <w:tab w:val="left" w:pos="0"/>
                <w:tab w:val="left" w:pos="2302"/>
              </w:tabs>
              <w:rPr>
                <w:b/>
              </w:rPr>
            </w:pPr>
            <w:r>
              <w:rPr>
                <w:b/>
                <w:szCs w:val="20"/>
                <w:lang w:eastAsia="en-US"/>
              </w:rPr>
              <w:t>Subject</w:t>
            </w:r>
            <w:r w:rsidRPr="00C87E33">
              <w:rPr>
                <w:b/>
                <w:szCs w:val="20"/>
                <w:lang w:eastAsia="en-US"/>
              </w:rPr>
              <w:t>:</w:t>
            </w:r>
          </w:p>
        </w:tc>
        <w:tc>
          <w:tcPr>
            <w:tcW w:w="5040" w:type="dxa"/>
          </w:tcPr>
          <w:p w:rsidR="00C87E33" w:rsidRDefault="008724A0" w:rsidP="00C87E33">
            <w:pPr>
              <w:tabs>
                <w:tab w:val="left" w:pos="0"/>
                <w:tab w:val="left" w:pos="2302"/>
              </w:tabs>
            </w:pPr>
            <w:r w:rsidRPr="00DA592A">
              <w:rPr>
                <w:b/>
              </w:rPr>
              <w:t>Planning Consultation Response</w:t>
            </w:r>
          </w:p>
        </w:tc>
      </w:tr>
      <w:tr w:rsidR="00C87E33" w:rsidTr="00C87E33">
        <w:tc>
          <w:tcPr>
            <w:tcW w:w="4968" w:type="dxa"/>
          </w:tcPr>
          <w:p w:rsidR="00C87E33" w:rsidRDefault="00C87E33" w:rsidP="00C87E33">
            <w:pPr>
              <w:tabs>
                <w:tab w:val="left" w:pos="0"/>
                <w:tab w:val="left" w:pos="2302"/>
              </w:tabs>
            </w:pPr>
            <w:r w:rsidRPr="006F38EA">
              <w:rPr>
                <w:b/>
                <w:szCs w:val="20"/>
                <w:lang w:eastAsia="en-US"/>
              </w:rPr>
              <w:t>Planning Application No</w:t>
            </w:r>
            <w:r>
              <w:rPr>
                <w:b/>
                <w:szCs w:val="20"/>
                <w:lang w:eastAsia="en-US"/>
              </w:rPr>
              <w:t>.</w:t>
            </w:r>
          </w:p>
        </w:tc>
        <w:tc>
          <w:tcPr>
            <w:tcW w:w="5040" w:type="dxa"/>
          </w:tcPr>
          <w:p w:rsidR="00C87E33" w:rsidRPr="009562AE" w:rsidRDefault="00A84422" w:rsidP="00804D3F">
            <w:pPr>
              <w:tabs>
                <w:tab w:val="left" w:pos="2302"/>
              </w:tabs>
              <w:rPr>
                <w:rFonts w:ascii="Times New Roman" w:hAnsi="Times New Roman"/>
                <w:b/>
              </w:rPr>
            </w:pPr>
            <w:r w:rsidRPr="00680C58">
              <w:rPr>
                <w:b/>
              </w:rPr>
              <w:t>2015/00843/FUL (SDB)</w:t>
            </w:r>
          </w:p>
        </w:tc>
      </w:tr>
      <w:tr w:rsidR="00C87E33" w:rsidTr="00C87E33">
        <w:tc>
          <w:tcPr>
            <w:tcW w:w="4968" w:type="dxa"/>
          </w:tcPr>
          <w:p w:rsidR="00C87E33" w:rsidRPr="006F38EA" w:rsidRDefault="00C87E33" w:rsidP="00C87E33">
            <w:pPr>
              <w:tabs>
                <w:tab w:val="left" w:pos="0"/>
                <w:tab w:val="left" w:pos="2302"/>
              </w:tabs>
              <w:rPr>
                <w:b/>
                <w:szCs w:val="20"/>
                <w:lang w:eastAsia="en-US"/>
              </w:rPr>
            </w:pPr>
            <w:r>
              <w:rPr>
                <w:b/>
                <w:szCs w:val="20"/>
                <w:lang w:eastAsia="en-US"/>
              </w:rPr>
              <w:t>Location</w:t>
            </w:r>
            <w:r w:rsidRPr="006F38EA">
              <w:rPr>
                <w:b/>
                <w:szCs w:val="20"/>
                <w:lang w:eastAsia="en-US"/>
              </w:rPr>
              <w:t>:</w:t>
            </w:r>
          </w:p>
        </w:tc>
        <w:tc>
          <w:tcPr>
            <w:tcW w:w="5040" w:type="dxa"/>
          </w:tcPr>
          <w:p w:rsidR="00C87E33" w:rsidRPr="00804D3F" w:rsidRDefault="00A84422" w:rsidP="00A84422">
            <w:pPr>
              <w:tabs>
                <w:tab w:val="left" w:pos="2302"/>
              </w:tabs>
              <w:rPr>
                <w:b/>
              </w:rPr>
            </w:pPr>
            <w:r w:rsidRPr="00680C58">
              <w:rPr>
                <w:b/>
              </w:rPr>
              <w:t>Sully Sports and Social Club, South Road, Sully</w:t>
            </w:r>
          </w:p>
        </w:tc>
      </w:tr>
      <w:tr w:rsidR="00C87E33" w:rsidTr="00C87E33">
        <w:tc>
          <w:tcPr>
            <w:tcW w:w="4968" w:type="dxa"/>
          </w:tcPr>
          <w:p w:rsidR="00C87E33" w:rsidRPr="00C87E33" w:rsidRDefault="00C87E33" w:rsidP="00C87E33">
            <w:pPr>
              <w:tabs>
                <w:tab w:val="left" w:pos="0"/>
                <w:tab w:val="left" w:pos="2302"/>
              </w:tabs>
              <w:rPr>
                <w:b/>
                <w:szCs w:val="20"/>
                <w:lang w:eastAsia="en-US"/>
              </w:rPr>
            </w:pPr>
            <w:r>
              <w:rPr>
                <w:b/>
                <w:szCs w:val="20"/>
                <w:lang w:eastAsia="en-US"/>
              </w:rPr>
              <w:t>Proposal</w:t>
            </w:r>
            <w:r w:rsidRPr="00C87E33">
              <w:rPr>
                <w:b/>
                <w:szCs w:val="20"/>
                <w:lang w:eastAsia="en-US"/>
              </w:rPr>
              <w:t>:</w:t>
            </w:r>
          </w:p>
        </w:tc>
        <w:tc>
          <w:tcPr>
            <w:tcW w:w="5040" w:type="dxa"/>
          </w:tcPr>
          <w:p w:rsidR="00C87E33" w:rsidRPr="00A84422" w:rsidRDefault="00A84422" w:rsidP="00804D3F">
            <w:pPr>
              <w:tabs>
                <w:tab w:val="left" w:pos="2302"/>
              </w:tabs>
              <w:rPr>
                <w:b/>
                <w:u w:val="single"/>
              </w:rPr>
            </w:pPr>
            <w:r w:rsidRPr="00680C58">
              <w:rPr>
                <w:b/>
                <w:u w:val="single"/>
              </w:rPr>
              <w:t xml:space="preserve">Hybrid application proposing development of Sully Sports and Social Club, including demolition of existing clubhouse and buildings and construction of new clubhouse, three. </w:t>
            </w:r>
            <w:proofErr w:type="gramStart"/>
            <w:r w:rsidRPr="00680C58">
              <w:rPr>
                <w:b/>
                <w:u w:val="single"/>
              </w:rPr>
              <w:t>grassed</w:t>
            </w:r>
            <w:proofErr w:type="gramEnd"/>
            <w:r w:rsidRPr="00680C58">
              <w:rPr>
                <w:b/>
                <w:u w:val="single"/>
              </w:rPr>
              <w:t xml:space="preserve"> pitches, one. all-weather pitch, floodlights, new bowling green, local retail building, touring caravan site and building, car parking and associated engineering, access and landscaping works (full detail) and proposals for construction of up to 200 dwellings, with associated parking, engineering, access, play space and landscaping works (outline detail)</w:t>
            </w:r>
          </w:p>
        </w:tc>
      </w:tr>
    </w:tbl>
    <w:p w:rsidR="00C87E33" w:rsidRDefault="00C87E33" w:rsidP="00C87E33">
      <w:pPr>
        <w:tabs>
          <w:tab w:val="left" w:pos="0"/>
        </w:tabs>
        <w:ind w:left="-360" w:right="652"/>
        <w:rPr>
          <w:szCs w:val="20"/>
          <w:lang w:eastAsia="en-US"/>
        </w:rPr>
      </w:pPr>
    </w:p>
    <w:p w:rsidR="008724A0" w:rsidRDefault="008724A0" w:rsidP="008724A0">
      <w:pPr>
        <w:tabs>
          <w:tab w:val="left" w:pos="0"/>
        </w:tabs>
        <w:ind w:left="-360" w:right="652"/>
        <w:rPr>
          <w:szCs w:val="20"/>
          <w:lang w:eastAsia="en-US"/>
        </w:rPr>
      </w:pPr>
      <w:r>
        <w:rPr>
          <w:szCs w:val="20"/>
          <w:lang w:eastAsia="en-US"/>
        </w:rPr>
        <w:t xml:space="preserve">Thank you for asking Housing Strategy to consult on this application. </w:t>
      </w:r>
    </w:p>
    <w:p w:rsidR="00CE7CC0" w:rsidRDefault="00CE7CC0" w:rsidP="008724A0">
      <w:pPr>
        <w:tabs>
          <w:tab w:val="left" w:pos="0"/>
        </w:tabs>
        <w:ind w:left="-360" w:right="652"/>
        <w:rPr>
          <w:szCs w:val="20"/>
          <w:lang w:eastAsia="en-US"/>
        </w:rPr>
      </w:pPr>
    </w:p>
    <w:p w:rsidR="00C26C56" w:rsidRDefault="00C26C56" w:rsidP="00C26C56">
      <w:pPr>
        <w:tabs>
          <w:tab w:val="left" w:pos="0"/>
        </w:tabs>
        <w:ind w:left="-360" w:right="652"/>
        <w:rPr>
          <w:rFonts w:cs="Arial"/>
        </w:rPr>
      </w:pPr>
      <w:r>
        <w:rPr>
          <w:szCs w:val="20"/>
          <w:lang w:eastAsia="en-US"/>
        </w:rPr>
        <w:t>There is an evidence</w:t>
      </w:r>
      <w:r w:rsidR="009131CC">
        <w:rPr>
          <w:szCs w:val="20"/>
          <w:lang w:eastAsia="en-US"/>
        </w:rPr>
        <w:t>d</w:t>
      </w:r>
      <w:r>
        <w:rPr>
          <w:szCs w:val="20"/>
          <w:lang w:eastAsia="en-US"/>
        </w:rPr>
        <w:t xml:space="preserve"> need for additional affordable housing in the Vale of Glamorgan, as evidenced by the 2010 Local Housing Market Assessment (LHMA) which determined that 915 additional affordable housing units were required each year to meet housing need in the area. </w:t>
      </w:r>
    </w:p>
    <w:p w:rsidR="00C26C56" w:rsidRDefault="00C26C56" w:rsidP="00C26C56">
      <w:pPr>
        <w:tabs>
          <w:tab w:val="left" w:pos="0"/>
        </w:tabs>
        <w:ind w:left="-360" w:right="652"/>
        <w:rPr>
          <w:rFonts w:cs="Arial"/>
        </w:rPr>
      </w:pPr>
    </w:p>
    <w:p w:rsidR="00C26C56" w:rsidRDefault="00C26C56" w:rsidP="00C26C56">
      <w:pPr>
        <w:tabs>
          <w:tab w:val="left" w:pos="0"/>
        </w:tabs>
        <w:ind w:left="-360" w:right="652"/>
        <w:rPr>
          <w:szCs w:val="20"/>
          <w:lang w:eastAsia="en-US"/>
        </w:rPr>
      </w:pPr>
      <w:r>
        <w:rPr>
          <w:szCs w:val="20"/>
          <w:lang w:eastAsia="en-US"/>
        </w:rPr>
        <w:t>The Homes4U waiting list, which provides the most accurate and up to date picture of local need,  shows ther</w:t>
      </w:r>
      <w:r w:rsidR="003616F9">
        <w:rPr>
          <w:szCs w:val="20"/>
          <w:lang w:eastAsia="en-US"/>
        </w:rPr>
        <w:t xml:space="preserve">e is current need in </w:t>
      </w:r>
      <w:r w:rsidR="00A84422">
        <w:rPr>
          <w:szCs w:val="20"/>
          <w:lang w:eastAsia="en-US"/>
        </w:rPr>
        <w:t>Sully</w:t>
      </w:r>
      <w:r>
        <w:rPr>
          <w:szCs w:val="20"/>
          <w:lang w:eastAsia="en-US"/>
        </w:rPr>
        <w:t xml:space="preserve"> and its surrounding areas, with people requiring:</w:t>
      </w:r>
    </w:p>
    <w:p w:rsidR="00C26C56" w:rsidRDefault="00C26C56" w:rsidP="00C26C56">
      <w:pPr>
        <w:tabs>
          <w:tab w:val="left" w:pos="0"/>
        </w:tabs>
        <w:ind w:left="-360" w:right="652"/>
        <w:rPr>
          <w:szCs w:val="20"/>
          <w:lang w:eastAsia="en-US"/>
        </w:rPr>
      </w:pPr>
    </w:p>
    <w:tbl>
      <w:tblPr>
        <w:tblW w:w="6609" w:type="dxa"/>
        <w:tblInd w:w="1005" w:type="dxa"/>
        <w:tblLook w:val="04A0" w:firstRow="1" w:lastRow="0" w:firstColumn="1" w:lastColumn="0" w:noHBand="0" w:noVBand="1"/>
      </w:tblPr>
      <w:tblGrid>
        <w:gridCol w:w="1480"/>
        <w:gridCol w:w="1301"/>
        <w:gridCol w:w="1276"/>
        <w:gridCol w:w="1276"/>
        <w:gridCol w:w="1276"/>
      </w:tblGrid>
      <w:tr w:rsidR="00B85A25" w:rsidRPr="00C71AA2" w:rsidTr="00B85A25">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A25" w:rsidRPr="00C71AA2" w:rsidRDefault="00B85A25" w:rsidP="007F1AA7">
            <w:pPr>
              <w:jc w:val="right"/>
              <w:rPr>
                <w:rFonts w:cs="Arial"/>
                <w:sz w:val="20"/>
                <w:szCs w:val="20"/>
              </w:rPr>
            </w:pP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B85A25" w:rsidRDefault="003616F9" w:rsidP="007F1AA7">
            <w:pPr>
              <w:jc w:val="right"/>
              <w:rPr>
                <w:rFonts w:cs="Arial"/>
                <w:sz w:val="20"/>
                <w:szCs w:val="20"/>
              </w:rPr>
            </w:pPr>
            <w:r>
              <w:rPr>
                <w:rFonts w:cs="Arial"/>
                <w:sz w:val="20"/>
                <w:szCs w:val="20"/>
              </w:rPr>
              <w:t>Penarth</w:t>
            </w:r>
            <w:r w:rsidR="00B85A25">
              <w:rPr>
                <w:rFonts w:cs="Arial"/>
                <w:sz w:val="20"/>
                <w:szCs w:val="20"/>
              </w:rPr>
              <w:t xml:space="preserve"> Ward</w:t>
            </w:r>
            <w:r>
              <w:rPr>
                <w:rFonts w:cs="Arial"/>
                <w:sz w:val="20"/>
                <w:szCs w:val="20"/>
              </w:rPr>
              <w:t>s</w:t>
            </w:r>
          </w:p>
        </w:tc>
        <w:tc>
          <w:tcPr>
            <w:tcW w:w="1276" w:type="dxa"/>
            <w:tcBorders>
              <w:top w:val="single" w:sz="4" w:space="0" w:color="auto"/>
              <w:left w:val="nil"/>
              <w:bottom w:val="single" w:sz="4" w:space="0" w:color="auto"/>
              <w:right w:val="single" w:sz="4" w:space="0" w:color="auto"/>
            </w:tcBorders>
          </w:tcPr>
          <w:p w:rsidR="003616F9" w:rsidRDefault="003616F9" w:rsidP="007F1AA7">
            <w:pPr>
              <w:jc w:val="right"/>
              <w:rPr>
                <w:rFonts w:cs="Arial"/>
                <w:sz w:val="20"/>
                <w:szCs w:val="20"/>
              </w:rPr>
            </w:pPr>
          </w:p>
          <w:p w:rsidR="003616F9" w:rsidRDefault="003616F9" w:rsidP="007F1AA7">
            <w:pPr>
              <w:jc w:val="right"/>
              <w:rPr>
                <w:rFonts w:cs="Arial"/>
                <w:sz w:val="20"/>
                <w:szCs w:val="20"/>
              </w:rPr>
            </w:pPr>
            <w:r>
              <w:rPr>
                <w:rFonts w:cs="Arial"/>
                <w:sz w:val="20"/>
                <w:szCs w:val="20"/>
              </w:rPr>
              <w:t>Sully</w:t>
            </w:r>
          </w:p>
          <w:p w:rsidR="00B85A25" w:rsidRDefault="00B85A25" w:rsidP="007F1AA7">
            <w:pPr>
              <w:jc w:val="right"/>
              <w:rPr>
                <w:rFonts w:cs="Arial"/>
                <w:sz w:val="20"/>
                <w:szCs w:val="20"/>
              </w:rPr>
            </w:pPr>
            <w:r>
              <w:rPr>
                <w:rFonts w:cs="Arial"/>
                <w:sz w:val="20"/>
                <w:szCs w:val="20"/>
              </w:rPr>
              <w:t xml:space="preserve"> Ward</w:t>
            </w:r>
          </w:p>
        </w:tc>
        <w:tc>
          <w:tcPr>
            <w:tcW w:w="1276" w:type="dxa"/>
            <w:tcBorders>
              <w:top w:val="single" w:sz="4" w:space="0" w:color="auto"/>
              <w:left w:val="nil"/>
              <w:bottom w:val="single" w:sz="4" w:space="0" w:color="auto"/>
              <w:right w:val="single" w:sz="4" w:space="0" w:color="auto"/>
            </w:tcBorders>
          </w:tcPr>
          <w:p w:rsidR="00B85A25" w:rsidRDefault="003616F9" w:rsidP="003616F9">
            <w:pPr>
              <w:jc w:val="right"/>
              <w:rPr>
                <w:rFonts w:cs="Arial"/>
                <w:sz w:val="20"/>
                <w:szCs w:val="20"/>
              </w:rPr>
            </w:pPr>
            <w:r>
              <w:rPr>
                <w:rFonts w:cs="Arial"/>
                <w:sz w:val="20"/>
                <w:szCs w:val="20"/>
              </w:rPr>
              <w:t>Dinas Powys</w:t>
            </w:r>
            <w:r w:rsidR="00B85A25">
              <w:rPr>
                <w:rFonts w:cs="Arial"/>
                <w:sz w:val="20"/>
                <w:szCs w:val="20"/>
              </w:rPr>
              <w:t xml:space="preserve"> Ward</w:t>
            </w:r>
          </w:p>
        </w:tc>
        <w:tc>
          <w:tcPr>
            <w:tcW w:w="1276" w:type="dxa"/>
            <w:tcBorders>
              <w:top w:val="single" w:sz="4" w:space="0" w:color="auto"/>
              <w:left w:val="nil"/>
              <w:bottom w:val="single" w:sz="4" w:space="0" w:color="auto"/>
              <w:right w:val="single" w:sz="4" w:space="0" w:color="auto"/>
            </w:tcBorders>
          </w:tcPr>
          <w:p w:rsidR="003616F9" w:rsidRDefault="003616F9" w:rsidP="00A84422">
            <w:pPr>
              <w:jc w:val="right"/>
              <w:rPr>
                <w:rFonts w:cs="Arial"/>
                <w:sz w:val="20"/>
                <w:szCs w:val="20"/>
              </w:rPr>
            </w:pPr>
          </w:p>
          <w:p w:rsidR="00B85A25" w:rsidRDefault="00A84422" w:rsidP="00A84422">
            <w:pPr>
              <w:jc w:val="right"/>
              <w:rPr>
                <w:rFonts w:cs="Arial"/>
                <w:sz w:val="20"/>
                <w:szCs w:val="20"/>
              </w:rPr>
            </w:pPr>
            <w:r>
              <w:rPr>
                <w:rFonts w:cs="Arial"/>
                <w:sz w:val="20"/>
                <w:szCs w:val="20"/>
              </w:rPr>
              <w:t>Barry</w:t>
            </w:r>
            <w:r w:rsidR="00B85A25">
              <w:rPr>
                <w:rFonts w:cs="Arial"/>
                <w:sz w:val="20"/>
                <w:szCs w:val="20"/>
              </w:rPr>
              <w:t xml:space="preserve"> Ward</w:t>
            </w:r>
            <w:r>
              <w:rPr>
                <w:rFonts w:cs="Arial"/>
                <w:sz w:val="20"/>
                <w:szCs w:val="20"/>
              </w:rPr>
              <w:t>s</w:t>
            </w:r>
          </w:p>
        </w:tc>
      </w:tr>
      <w:tr w:rsidR="00B85A25" w:rsidRPr="007D44C7" w:rsidTr="00B85A25">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A25" w:rsidRPr="00C71AA2" w:rsidRDefault="00B85A25" w:rsidP="007F1AA7">
            <w:pPr>
              <w:jc w:val="right"/>
              <w:rPr>
                <w:rFonts w:cs="Arial"/>
                <w:sz w:val="20"/>
                <w:szCs w:val="20"/>
              </w:rPr>
            </w:pPr>
            <w:r w:rsidRPr="00C71AA2">
              <w:rPr>
                <w:rFonts w:cs="Arial"/>
                <w:sz w:val="20"/>
                <w:szCs w:val="20"/>
              </w:rPr>
              <w:t>1 Bed Need</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B85A25" w:rsidRPr="00C71AA2" w:rsidRDefault="003616F9" w:rsidP="007F1AA7">
            <w:pPr>
              <w:jc w:val="right"/>
              <w:rPr>
                <w:rFonts w:cs="Arial"/>
                <w:sz w:val="20"/>
                <w:szCs w:val="20"/>
              </w:rPr>
            </w:pPr>
            <w:r>
              <w:rPr>
                <w:rFonts w:cs="Arial"/>
                <w:sz w:val="20"/>
                <w:szCs w:val="20"/>
              </w:rPr>
              <w:t>2</w:t>
            </w:r>
            <w:r w:rsidR="00B85A25">
              <w:rPr>
                <w:rFonts w:cs="Arial"/>
                <w:sz w:val="20"/>
                <w:szCs w:val="20"/>
              </w:rPr>
              <w:t>34</w:t>
            </w:r>
          </w:p>
        </w:tc>
        <w:tc>
          <w:tcPr>
            <w:tcW w:w="1276" w:type="dxa"/>
            <w:tcBorders>
              <w:top w:val="single" w:sz="4" w:space="0" w:color="auto"/>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12</w:t>
            </w:r>
          </w:p>
        </w:tc>
        <w:tc>
          <w:tcPr>
            <w:tcW w:w="1276" w:type="dxa"/>
            <w:tcBorders>
              <w:top w:val="single" w:sz="4" w:space="0" w:color="auto"/>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65</w:t>
            </w:r>
          </w:p>
        </w:tc>
        <w:tc>
          <w:tcPr>
            <w:tcW w:w="1276" w:type="dxa"/>
            <w:tcBorders>
              <w:top w:val="single" w:sz="4" w:space="0" w:color="auto"/>
              <w:left w:val="nil"/>
              <w:bottom w:val="single" w:sz="4" w:space="0" w:color="auto"/>
              <w:right w:val="single" w:sz="4" w:space="0" w:color="auto"/>
            </w:tcBorders>
          </w:tcPr>
          <w:p w:rsidR="00B85A25" w:rsidRDefault="00A84422" w:rsidP="007F1AA7">
            <w:pPr>
              <w:jc w:val="right"/>
              <w:rPr>
                <w:rFonts w:cs="Arial"/>
                <w:sz w:val="20"/>
                <w:szCs w:val="20"/>
              </w:rPr>
            </w:pPr>
            <w:r>
              <w:rPr>
                <w:rFonts w:cs="Arial"/>
                <w:sz w:val="20"/>
                <w:szCs w:val="20"/>
              </w:rPr>
              <w:t>799</w:t>
            </w:r>
          </w:p>
        </w:tc>
      </w:tr>
      <w:tr w:rsidR="00B85A25" w:rsidRPr="007D44C7" w:rsidTr="00B85A2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85A25" w:rsidRPr="00C71AA2" w:rsidRDefault="00B85A25" w:rsidP="007F1AA7">
            <w:pPr>
              <w:jc w:val="right"/>
              <w:rPr>
                <w:rFonts w:cs="Arial"/>
                <w:sz w:val="20"/>
                <w:szCs w:val="20"/>
              </w:rPr>
            </w:pPr>
            <w:r w:rsidRPr="00C71AA2">
              <w:rPr>
                <w:rFonts w:cs="Arial"/>
                <w:sz w:val="20"/>
                <w:szCs w:val="20"/>
              </w:rPr>
              <w:t>2 Bed Need</w:t>
            </w:r>
          </w:p>
        </w:tc>
        <w:tc>
          <w:tcPr>
            <w:tcW w:w="1301" w:type="dxa"/>
            <w:tcBorders>
              <w:top w:val="nil"/>
              <w:left w:val="nil"/>
              <w:bottom w:val="single" w:sz="4" w:space="0" w:color="auto"/>
              <w:right w:val="single" w:sz="4" w:space="0" w:color="auto"/>
            </w:tcBorders>
            <w:shd w:val="clear" w:color="auto" w:fill="auto"/>
            <w:noWrap/>
            <w:vAlign w:val="bottom"/>
          </w:tcPr>
          <w:p w:rsidR="00B85A25" w:rsidRPr="00C71AA2" w:rsidRDefault="003616F9" w:rsidP="007F1AA7">
            <w:pPr>
              <w:jc w:val="right"/>
              <w:rPr>
                <w:rFonts w:cs="Arial"/>
                <w:sz w:val="20"/>
                <w:szCs w:val="20"/>
              </w:rPr>
            </w:pPr>
            <w:r>
              <w:rPr>
                <w:rFonts w:cs="Arial"/>
                <w:sz w:val="20"/>
                <w:szCs w:val="20"/>
              </w:rPr>
              <w:t>147</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16</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38</w:t>
            </w:r>
          </w:p>
        </w:tc>
        <w:tc>
          <w:tcPr>
            <w:tcW w:w="1276" w:type="dxa"/>
            <w:tcBorders>
              <w:top w:val="nil"/>
              <w:left w:val="nil"/>
              <w:bottom w:val="single" w:sz="4" w:space="0" w:color="auto"/>
              <w:right w:val="single" w:sz="4" w:space="0" w:color="auto"/>
            </w:tcBorders>
          </w:tcPr>
          <w:p w:rsidR="00B85A25" w:rsidRDefault="00A84422" w:rsidP="00EA134D">
            <w:pPr>
              <w:jc w:val="right"/>
              <w:rPr>
                <w:rFonts w:cs="Arial"/>
                <w:sz w:val="20"/>
                <w:szCs w:val="20"/>
              </w:rPr>
            </w:pPr>
            <w:r>
              <w:rPr>
                <w:rFonts w:cs="Arial"/>
                <w:sz w:val="20"/>
                <w:szCs w:val="20"/>
              </w:rPr>
              <w:t>449</w:t>
            </w:r>
          </w:p>
        </w:tc>
      </w:tr>
      <w:tr w:rsidR="00B85A25" w:rsidRPr="007D44C7" w:rsidTr="00B85A2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85A25" w:rsidRPr="00C71AA2" w:rsidRDefault="00B85A25" w:rsidP="007F1AA7">
            <w:pPr>
              <w:jc w:val="right"/>
              <w:rPr>
                <w:rFonts w:cs="Arial"/>
                <w:sz w:val="20"/>
                <w:szCs w:val="20"/>
              </w:rPr>
            </w:pPr>
            <w:r w:rsidRPr="00C71AA2">
              <w:rPr>
                <w:rFonts w:cs="Arial"/>
                <w:sz w:val="20"/>
                <w:szCs w:val="20"/>
              </w:rPr>
              <w:t>3 Bed Need</w:t>
            </w:r>
          </w:p>
        </w:tc>
        <w:tc>
          <w:tcPr>
            <w:tcW w:w="1301" w:type="dxa"/>
            <w:tcBorders>
              <w:top w:val="nil"/>
              <w:left w:val="nil"/>
              <w:bottom w:val="single" w:sz="4" w:space="0" w:color="auto"/>
              <w:right w:val="single" w:sz="4" w:space="0" w:color="auto"/>
            </w:tcBorders>
            <w:shd w:val="clear" w:color="auto" w:fill="auto"/>
            <w:noWrap/>
            <w:vAlign w:val="bottom"/>
          </w:tcPr>
          <w:p w:rsidR="00B85A25" w:rsidRPr="00C71AA2" w:rsidRDefault="003616F9" w:rsidP="007F1AA7">
            <w:pPr>
              <w:jc w:val="right"/>
              <w:rPr>
                <w:rFonts w:cs="Arial"/>
                <w:sz w:val="20"/>
                <w:szCs w:val="20"/>
              </w:rPr>
            </w:pPr>
            <w:r>
              <w:rPr>
                <w:rFonts w:cs="Arial"/>
                <w:sz w:val="20"/>
                <w:szCs w:val="20"/>
              </w:rPr>
              <w:t>44</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2</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17</w:t>
            </w:r>
          </w:p>
        </w:tc>
        <w:tc>
          <w:tcPr>
            <w:tcW w:w="1276" w:type="dxa"/>
            <w:tcBorders>
              <w:top w:val="nil"/>
              <w:left w:val="nil"/>
              <w:bottom w:val="single" w:sz="4" w:space="0" w:color="auto"/>
              <w:right w:val="single" w:sz="4" w:space="0" w:color="auto"/>
            </w:tcBorders>
          </w:tcPr>
          <w:p w:rsidR="00B85A25" w:rsidRDefault="00A84422" w:rsidP="007F1AA7">
            <w:pPr>
              <w:jc w:val="right"/>
              <w:rPr>
                <w:rFonts w:cs="Arial"/>
                <w:sz w:val="20"/>
                <w:szCs w:val="20"/>
              </w:rPr>
            </w:pPr>
            <w:r>
              <w:rPr>
                <w:rFonts w:cs="Arial"/>
                <w:sz w:val="20"/>
                <w:szCs w:val="20"/>
              </w:rPr>
              <w:t>158</w:t>
            </w:r>
          </w:p>
        </w:tc>
      </w:tr>
      <w:tr w:rsidR="00B85A25" w:rsidRPr="007D44C7" w:rsidTr="00B85A2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85A25" w:rsidRPr="00C71AA2" w:rsidRDefault="00B85A25" w:rsidP="007F1AA7">
            <w:pPr>
              <w:jc w:val="right"/>
              <w:rPr>
                <w:rFonts w:cs="Arial"/>
                <w:sz w:val="20"/>
                <w:szCs w:val="20"/>
              </w:rPr>
            </w:pPr>
            <w:r w:rsidRPr="00C71AA2">
              <w:rPr>
                <w:rFonts w:cs="Arial"/>
                <w:sz w:val="20"/>
                <w:szCs w:val="20"/>
              </w:rPr>
              <w:t>4</w:t>
            </w:r>
            <w:r>
              <w:rPr>
                <w:rFonts w:cs="Arial"/>
                <w:sz w:val="20"/>
                <w:szCs w:val="20"/>
              </w:rPr>
              <w:t>+</w:t>
            </w:r>
            <w:r w:rsidRPr="00C71AA2">
              <w:rPr>
                <w:rFonts w:cs="Arial"/>
                <w:sz w:val="20"/>
                <w:szCs w:val="20"/>
              </w:rPr>
              <w:t xml:space="preserve"> Bed Need</w:t>
            </w:r>
          </w:p>
        </w:tc>
        <w:tc>
          <w:tcPr>
            <w:tcW w:w="1301" w:type="dxa"/>
            <w:tcBorders>
              <w:top w:val="nil"/>
              <w:left w:val="nil"/>
              <w:bottom w:val="single" w:sz="4" w:space="0" w:color="auto"/>
              <w:right w:val="single" w:sz="4" w:space="0" w:color="auto"/>
            </w:tcBorders>
            <w:shd w:val="clear" w:color="auto" w:fill="auto"/>
            <w:noWrap/>
            <w:vAlign w:val="bottom"/>
          </w:tcPr>
          <w:p w:rsidR="00B85A25" w:rsidRPr="00C71AA2" w:rsidRDefault="003616F9" w:rsidP="007F1AA7">
            <w:pPr>
              <w:jc w:val="right"/>
              <w:rPr>
                <w:rFonts w:cs="Arial"/>
                <w:sz w:val="20"/>
                <w:szCs w:val="20"/>
              </w:rPr>
            </w:pPr>
            <w:r>
              <w:rPr>
                <w:rFonts w:cs="Arial"/>
                <w:sz w:val="20"/>
                <w:szCs w:val="20"/>
              </w:rPr>
              <w:t>12</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1</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4</w:t>
            </w:r>
          </w:p>
        </w:tc>
        <w:tc>
          <w:tcPr>
            <w:tcW w:w="1276" w:type="dxa"/>
            <w:tcBorders>
              <w:top w:val="nil"/>
              <w:left w:val="nil"/>
              <w:bottom w:val="single" w:sz="4" w:space="0" w:color="auto"/>
              <w:right w:val="single" w:sz="4" w:space="0" w:color="auto"/>
            </w:tcBorders>
          </w:tcPr>
          <w:p w:rsidR="00B85A25" w:rsidRDefault="00A84422" w:rsidP="007F1AA7">
            <w:pPr>
              <w:jc w:val="right"/>
              <w:rPr>
                <w:rFonts w:cs="Arial"/>
                <w:sz w:val="20"/>
                <w:szCs w:val="20"/>
              </w:rPr>
            </w:pPr>
            <w:r>
              <w:rPr>
                <w:rFonts w:cs="Arial"/>
                <w:sz w:val="20"/>
                <w:szCs w:val="20"/>
              </w:rPr>
              <w:t>51</w:t>
            </w:r>
          </w:p>
        </w:tc>
      </w:tr>
      <w:tr w:rsidR="00B85A25" w:rsidRPr="007D44C7" w:rsidTr="00B85A25">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85A25" w:rsidRPr="00C71AA2" w:rsidRDefault="00B85A25" w:rsidP="007F1AA7">
            <w:pPr>
              <w:jc w:val="right"/>
              <w:rPr>
                <w:rFonts w:cs="Arial"/>
                <w:sz w:val="20"/>
                <w:szCs w:val="20"/>
              </w:rPr>
            </w:pPr>
            <w:r w:rsidRPr="00C71AA2">
              <w:rPr>
                <w:rFonts w:cs="Arial"/>
                <w:sz w:val="20"/>
                <w:szCs w:val="20"/>
              </w:rPr>
              <w:t>Total</w:t>
            </w:r>
          </w:p>
        </w:tc>
        <w:tc>
          <w:tcPr>
            <w:tcW w:w="1301" w:type="dxa"/>
            <w:tcBorders>
              <w:top w:val="nil"/>
              <w:left w:val="nil"/>
              <w:bottom w:val="single" w:sz="4" w:space="0" w:color="auto"/>
              <w:right w:val="single" w:sz="4" w:space="0" w:color="auto"/>
            </w:tcBorders>
            <w:shd w:val="clear" w:color="auto" w:fill="auto"/>
            <w:noWrap/>
            <w:vAlign w:val="bottom"/>
            <w:hideMark/>
          </w:tcPr>
          <w:p w:rsidR="00B85A25" w:rsidRPr="00C71AA2" w:rsidRDefault="003616F9" w:rsidP="00EA134D">
            <w:pPr>
              <w:jc w:val="right"/>
              <w:rPr>
                <w:rFonts w:cs="Arial"/>
                <w:sz w:val="20"/>
                <w:szCs w:val="20"/>
              </w:rPr>
            </w:pPr>
            <w:r>
              <w:rPr>
                <w:rFonts w:cs="Arial"/>
                <w:sz w:val="20"/>
                <w:szCs w:val="20"/>
              </w:rPr>
              <w:t>43</w:t>
            </w:r>
            <w:r w:rsidR="00EA134D">
              <w:rPr>
                <w:rFonts w:cs="Arial"/>
                <w:sz w:val="20"/>
                <w:szCs w:val="20"/>
              </w:rPr>
              <w:t>7</w:t>
            </w:r>
          </w:p>
        </w:tc>
        <w:tc>
          <w:tcPr>
            <w:tcW w:w="1276" w:type="dxa"/>
            <w:tcBorders>
              <w:top w:val="nil"/>
              <w:left w:val="nil"/>
              <w:bottom w:val="single" w:sz="4" w:space="0" w:color="auto"/>
              <w:right w:val="single" w:sz="4" w:space="0" w:color="auto"/>
            </w:tcBorders>
          </w:tcPr>
          <w:p w:rsidR="00B85A25" w:rsidRPr="00C71AA2" w:rsidRDefault="003616F9" w:rsidP="007F1AA7">
            <w:pPr>
              <w:jc w:val="right"/>
              <w:rPr>
                <w:rFonts w:cs="Arial"/>
                <w:sz w:val="20"/>
                <w:szCs w:val="20"/>
              </w:rPr>
            </w:pPr>
            <w:r>
              <w:rPr>
                <w:rFonts w:cs="Arial"/>
                <w:sz w:val="20"/>
                <w:szCs w:val="20"/>
              </w:rPr>
              <w:t>31</w:t>
            </w:r>
          </w:p>
        </w:tc>
        <w:tc>
          <w:tcPr>
            <w:tcW w:w="1276" w:type="dxa"/>
            <w:tcBorders>
              <w:top w:val="nil"/>
              <w:left w:val="nil"/>
              <w:bottom w:val="single" w:sz="4" w:space="0" w:color="auto"/>
              <w:right w:val="single" w:sz="4" w:space="0" w:color="auto"/>
            </w:tcBorders>
          </w:tcPr>
          <w:p w:rsidR="00B85A25" w:rsidRDefault="003616F9" w:rsidP="007F1AA7">
            <w:pPr>
              <w:jc w:val="right"/>
              <w:rPr>
                <w:rFonts w:cs="Arial"/>
                <w:sz w:val="20"/>
                <w:szCs w:val="20"/>
              </w:rPr>
            </w:pPr>
            <w:r>
              <w:rPr>
                <w:rFonts w:cs="Arial"/>
                <w:sz w:val="20"/>
                <w:szCs w:val="20"/>
              </w:rPr>
              <w:t>12</w:t>
            </w:r>
            <w:r w:rsidR="00EA134D">
              <w:rPr>
                <w:rFonts w:cs="Arial"/>
                <w:sz w:val="20"/>
                <w:szCs w:val="20"/>
              </w:rPr>
              <w:t>4</w:t>
            </w:r>
          </w:p>
        </w:tc>
        <w:tc>
          <w:tcPr>
            <w:tcW w:w="1276" w:type="dxa"/>
            <w:tcBorders>
              <w:top w:val="nil"/>
              <w:left w:val="nil"/>
              <w:bottom w:val="single" w:sz="4" w:space="0" w:color="auto"/>
              <w:right w:val="single" w:sz="4" w:space="0" w:color="auto"/>
            </w:tcBorders>
          </w:tcPr>
          <w:p w:rsidR="00B85A25" w:rsidRDefault="00A84422" w:rsidP="007F1AA7">
            <w:pPr>
              <w:jc w:val="right"/>
              <w:rPr>
                <w:rFonts w:cs="Arial"/>
                <w:sz w:val="20"/>
                <w:szCs w:val="20"/>
              </w:rPr>
            </w:pPr>
            <w:r>
              <w:rPr>
                <w:rFonts w:cs="Arial"/>
                <w:sz w:val="20"/>
                <w:szCs w:val="20"/>
              </w:rPr>
              <w:t>1457</w:t>
            </w:r>
          </w:p>
        </w:tc>
      </w:tr>
    </w:tbl>
    <w:p w:rsidR="00C26C56" w:rsidRDefault="00C26C56" w:rsidP="00C26C56">
      <w:pPr>
        <w:jc w:val="right"/>
        <w:rPr>
          <w:rFonts w:cs="Arial"/>
          <w:sz w:val="20"/>
          <w:szCs w:val="20"/>
        </w:rPr>
      </w:pPr>
    </w:p>
    <w:p w:rsidR="00C26C56" w:rsidRDefault="00C26C56" w:rsidP="00C26C56">
      <w:pPr>
        <w:tabs>
          <w:tab w:val="left" w:pos="0"/>
        </w:tabs>
        <w:ind w:right="652"/>
        <w:rPr>
          <w:szCs w:val="20"/>
          <w:lang w:eastAsia="en-US"/>
        </w:rPr>
      </w:pPr>
    </w:p>
    <w:p w:rsidR="00804D3F" w:rsidRDefault="00804D3F" w:rsidP="00804D3F">
      <w:pPr>
        <w:tabs>
          <w:tab w:val="left" w:pos="0"/>
        </w:tabs>
        <w:ind w:left="-360" w:right="652"/>
        <w:rPr>
          <w:szCs w:val="20"/>
          <w:lang w:eastAsia="en-US"/>
        </w:rPr>
      </w:pPr>
      <w:r>
        <w:rPr>
          <w:szCs w:val="20"/>
          <w:lang w:eastAsia="en-US"/>
        </w:rPr>
        <w:t xml:space="preserve">The developer has not given any detail in the application on affordable housing </w:t>
      </w:r>
      <w:r w:rsidR="00361F77">
        <w:rPr>
          <w:szCs w:val="20"/>
          <w:lang w:eastAsia="en-US"/>
        </w:rPr>
        <w:t xml:space="preserve">or total unit numbers for market housing </w:t>
      </w:r>
      <w:r>
        <w:rPr>
          <w:szCs w:val="20"/>
          <w:lang w:eastAsia="en-US"/>
        </w:rPr>
        <w:t>so we have detailed below our requirements in line with the</w:t>
      </w:r>
      <w:r w:rsidR="00365409">
        <w:rPr>
          <w:szCs w:val="20"/>
          <w:lang w:eastAsia="en-US"/>
        </w:rPr>
        <w:t xml:space="preserve"> Supplementary Planning Guidance: </w:t>
      </w:r>
    </w:p>
    <w:p w:rsidR="009131CC" w:rsidRDefault="009131CC" w:rsidP="00C26C56">
      <w:pPr>
        <w:tabs>
          <w:tab w:val="left" w:pos="0"/>
        </w:tabs>
        <w:ind w:left="-360" w:right="652"/>
        <w:rPr>
          <w:szCs w:val="20"/>
          <w:lang w:eastAsia="en-US"/>
        </w:rPr>
      </w:pPr>
    </w:p>
    <w:p w:rsidR="00804D3F" w:rsidRDefault="00804D3F" w:rsidP="00804D3F">
      <w:pPr>
        <w:pStyle w:val="ListParagraph"/>
        <w:numPr>
          <w:ilvl w:val="0"/>
          <w:numId w:val="1"/>
        </w:numPr>
        <w:tabs>
          <w:tab w:val="left" w:pos="0"/>
        </w:tabs>
        <w:ind w:right="652"/>
        <w:rPr>
          <w:szCs w:val="20"/>
          <w:lang w:eastAsia="en-US"/>
        </w:rPr>
      </w:pPr>
      <w:r>
        <w:rPr>
          <w:szCs w:val="20"/>
          <w:lang w:eastAsia="en-US"/>
        </w:rPr>
        <w:t>We will seek 40% of the total number of units to be provid</w:t>
      </w:r>
      <w:r w:rsidR="00361F77">
        <w:rPr>
          <w:szCs w:val="20"/>
          <w:lang w:eastAsia="en-US"/>
        </w:rPr>
        <w:t>ed onsite as affordable housing</w:t>
      </w:r>
      <w:r w:rsidR="0067224D">
        <w:rPr>
          <w:szCs w:val="20"/>
          <w:lang w:eastAsia="en-US"/>
        </w:rPr>
        <w:t xml:space="preserve">. </w:t>
      </w:r>
    </w:p>
    <w:p w:rsidR="00804D3F" w:rsidRDefault="00804D3F" w:rsidP="00804D3F">
      <w:pPr>
        <w:tabs>
          <w:tab w:val="left" w:pos="0"/>
        </w:tabs>
        <w:ind w:right="652"/>
        <w:rPr>
          <w:szCs w:val="20"/>
          <w:lang w:eastAsia="en-US"/>
        </w:rPr>
      </w:pPr>
    </w:p>
    <w:p w:rsidR="00804D3F" w:rsidRDefault="00804D3F" w:rsidP="00804D3F">
      <w:pPr>
        <w:pStyle w:val="ListParagraph"/>
        <w:numPr>
          <w:ilvl w:val="0"/>
          <w:numId w:val="1"/>
        </w:numPr>
        <w:tabs>
          <w:tab w:val="left" w:pos="0"/>
        </w:tabs>
        <w:ind w:right="652"/>
        <w:rPr>
          <w:szCs w:val="20"/>
          <w:lang w:eastAsia="en-US"/>
        </w:rPr>
      </w:pPr>
      <w:r w:rsidRPr="00361F77">
        <w:rPr>
          <w:szCs w:val="20"/>
          <w:lang w:eastAsia="en-US"/>
        </w:rPr>
        <w:t>We ask for a tenure mix of 80% soc</w:t>
      </w:r>
      <w:r w:rsidR="00361F77">
        <w:rPr>
          <w:szCs w:val="20"/>
          <w:lang w:eastAsia="en-US"/>
        </w:rPr>
        <w:t>ial rented and 20% Intermediate</w:t>
      </w:r>
    </w:p>
    <w:p w:rsidR="00804D3F" w:rsidRPr="007C2640" w:rsidRDefault="00804D3F" w:rsidP="00804D3F">
      <w:pPr>
        <w:rPr>
          <w:szCs w:val="20"/>
          <w:lang w:eastAsia="en-US"/>
        </w:rPr>
      </w:pPr>
    </w:p>
    <w:p w:rsidR="00804D3F" w:rsidRDefault="00804D3F" w:rsidP="00804D3F">
      <w:pPr>
        <w:pStyle w:val="ListParagraph"/>
        <w:numPr>
          <w:ilvl w:val="0"/>
          <w:numId w:val="1"/>
        </w:numPr>
        <w:tabs>
          <w:tab w:val="left" w:pos="0"/>
        </w:tabs>
        <w:ind w:right="652"/>
        <w:rPr>
          <w:szCs w:val="20"/>
          <w:lang w:eastAsia="en-US"/>
        </w:rPr>
      </w:pPr>
      <w:r w:rsidRPr="007C2640">
        <w:rPr>
          <w:szCs w:val="20"/>
          <w:lang w:eastAsia="en-US"/>
        </w:rPr>
        <w:t xml:space="preserve">All affordable units must be DQR </w:t>
      </w:r>
      <w:r>
        <w:rPr>
          <w:szCs w:val="20"/>
          <w:lang w:eastAsia="en-US"/>
        </w:rPr>
        <w:t xml:space="preserve">compliant. </w:t>
      </w:r>
    </w:p>
    <w:p w:rsidR="00804D3F" w:rsidRPr="007C2640" w:rsidRDefault="00804D3F" w:rsidP="00804D3F">
      <w:pPr>
        <w:pStyle w:val="ListParagraph"/>
        <w:tabs>
          <w:tab w:val="left" w:pos="0"/>
        </w:tabs>
        <w:ind w:left="0" w:right="652"/>
        <w:rPr>
          <w:szCs w:val="20"/>
          <w:lang w:eastAsia="en-US"/>
        </w:rPr>
      </w:pPr>
    </w:p>
    <w:p w:rsidR="00804D3F" w:rsidRDefault="00804D3F" w:rsidP="00804D3F">
      <w:pPr>
        <w:pStyle w:val="ListParagraph"/>
        <w:numPr>
          <w:ilvl w:val="0"/>
          <w:numId w:val="1"/>
        </w:numPr>
        <w:tabs>
          <w:tab w:val="left" w:pos="0"/>
        </w:tabs>
        <w:ind w:right="652"/>
        <w:rPr>
          <w:szCs w:val="20"/>
          <w:lang w:eastAsia="en-US"/>
        </w:rPr>
      </w:pPr>
      <w:r>
        <w:rPr>
          <w:szCs w:val="20"/>
          <w:lang w:eastAsia="en-US"/>
        </w:rPr>
        <w:t>Affordable units should be pepper potted throughout the site</w:t>
      </w:r>
      <w:r w:rsidR="0067224D">
        <w:rPr>
          <w:szCs w:val="20"/>
          <w:lang w:eastAsia="en-US"/>
        </w:rPr>
        <w:t xml:space="preserve"> and all phases</w:t>
      </w:r>
      <w:r>
        <w:rPr>
          <w:szCs w:val="20"/>
          <w:lang w:eastAsia="en-US"/>
        </w:rPr>
        <w:t xml:space="preserve"> to encourage community cohesion and integration. </w:t>
      </w:r>
    </w:p>
    <w:p w:rsidR="00804D3F" w:rsidRDefault="00804D3F" w:rsidP="009131CC">
      <w:pPr>
        <w:tabs>
          <w:tab w:val="left" w:pos="0"/>
        </w:tabs>
        <w:ind w:left="-360" w:right="652"/>
        <w:rPr>
          <w:szCs w:val="20"/>
          <w:lang w:eastAsia="en-US"/>
        </w:rPr>
      </w:pPr>
    </w:p>
    <w:p w:rsidR="00970EA7" w:rsidRDefault="00970EA7" w:rsidP="008724A0">
      <w:pPr>
        <w:tabs>
          <w:tab w:val="left" w:pos="0"/>
        </w:tabs>
        <w:ind w:left="-360" w:right="652"/>
        <w:rPr>
          <w:szCs w:val="20"/>
          <w:lang w:eastAsia="en-US"/>
        </w:rPr>
      </w:pPr>
    </w:p>
    <w:p w:rsidR="00F327C5" w:rsidRPr="006F38EA" w:rsidRDefault="00F327C5" w:rsidP="00C87E33">
      <w:pPr>
        <w:tabs>
          <w:tab w:val="left" w:pos="0"/>
        </w:tabs>
        <w:ind w:left="-360" w:right="652"/>
        <w:rPr>
          <w:szCs w:val="20"/>
          <w:lang w:eastAsia="en-US"/>
        </w:rPr>
      </w:pPr>
    </w:p>
    <w:p w:rsidR="00C87E33" w:rsidRDefault="009B4FAE" w:rsidP="00C87E33">
      <w:pPr>
        <w:tabs>
          <w:tab w:val="left" w:pos="0"/>
        </w:tabs>
        <w:ind w:left="-360" w:right="652"/>
        <w:rPr>
          <w:szCs w:val="20"/>
          <w:lang w:eastAsia="en-US"/>
        </w:rPr>
      </w:pPr>
      <w:r>
        <w:rPr>
          <w:szCs w:val="20"/>
          <w:lang w:eastAsia="en-US"/>
        </w:rPr>
        <w:t>Elisa Faulkner</w:t>
      </w:r>
    </w:p>
    <w:p w:rsidR="00FC2F52" w:rsidRDefault="00FC2F52" w:rsidP="00C87E33">
      <w:pPr>
        <w:tabs>
          <w:tab w:val="left" w:pos="0"/>
        </w:tabs>
        <w:ind w:left="-360" w:right="652"/>
        <w:rPr>
          <w:szCs w:val="20"/>
          <w:lang w:eastAsia="en-US"/>
        </w:rPr>
      </w:pPr>
    </w:p>
    <w:p w:rsidR="00CC7A12" w:rsidRDefault="00CC7A1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E07ABC" w:rsidRPr="006F38EA" w:rsidRDefault="009B4FAE" w:rsidP="00C87E33">
      <w:pPr>
        <w:tabs>
          <w:tab w:val="left" w:pos="0"/>
        </w:tabs>
        <w:ind w:left="-360" w:right="652"/>
      </w:pPr>
      <w:r>
        <w:rPr>
          <w:szCs w:val="20"/>
          <w:lang w:eastAsia="en-US"/>
        </w:rPr>
        <w:t xml:space="preserve">Affordable </w:t>
      </w:r>
      <w:r w:rsidR="00FE5BEB">
        <w:rPr>
          <w:szCs w:val="20"/>
          <w:lang w:eastAsia="en-US"/>
        </w:rPr>
        <w:t>Enabling Officer</w:t>
      </w:r>
    </w:p>
    <w:sectPr w:rsidR="00E07ABC" w:rsidRPr="006F38EA" w:rsidSect="00C87E33">
      <w:footerReference w:type="default" r:id="rId10"/>
      <w:footerReference w:type="first" r:id="rId11"/>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F" w:rsidRDefault="00651055">
      <w:r>
        <w:separator/>
      </w:r>
    </w:p>
  </w:endnote>
  <w:endnote w:type="continuationSeparator" w:id="0">
    <w:p w:rsidR="00F36B5F" w:rsidRDefault="0065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Default="006F38EA">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DF7234">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Pr="0055682F" w:rsidRDefault="006F38EA" w:rsidP="006F38EA">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F" w:rsidRDefault="00651055">
      <w:r>
        <w:separator/>
      </w:r>
    </w:p>
  </w:footnote>
  <w:footnote w:type="continuationSeparator" w:id="0">
    <w:p w:rsidR="00F36B5F" w:rsidRDefault="0065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14E"/>
    <w:multiLevelType w:val="hybridMultilevel"/>
    <w:tmpl w:val="567EACF0"/>
    <w:lvl w:ilvl="0" w:tplc="A68E426A">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A"/>
    <w:rsid w:val="0000719A"/>
    <w:rsid w:val="000509BA"/>
    <w:rsid w:val="00061351"/>
    <w:rsid w:val="000677E8"/>
    <w:rsid w:val="0008755D"/>
    <w:rsid w:val="000E7EA8"/>
    <w:rsid w:val="000F185E"/>
    <w:rsid w:val="000F1D5C"/>
    <w:rsid w:val="000F1D7D"/>
    <w:rsid w:val="001013E3"/>
    <w:rsid w:val="00160F45"/>
    <w:rsid w:val="0017131B"/>
    <w:rsid w:val="0017240C"/>
    <w:rsid w:val="0019098E"/>
    <w:rsid w:val="0022216F"/>
    <w:rsid w:val="00234F48"/>
    <w:rsid w:val="002453DA"/>
    <w:rsid w:val="00245811"/>
    <w:rsid w:val="00250840"/>
    <w:rsid w:val="002572E5"/>
    <w:rsid w:val="00273BD9"/>
    <w:rsid w:val="002970A2"/>
    <w:rsid w:val="002A20D2"/>
    <w:rsid w:val="002A23BB"/>
    <w:rsid w:val="00323C01"/>
    <w:rsid w:val="003616F9"/>
    <w:rsid w:val="00361F77"/>
    <w:rsid w:val="00365409"/>
    <w:rsid w:val="0037638A"/>
    <w:rsid w:val="003766E1"/>
    <w:rsid w:val="003E14D6"/>
    <w:rsid w:val="00423038"/>
    <w:rsid w:val="004252E8"/>
    <w:rsid w:val="0043327A"/>
    <w:rsid w:val="00434742"/>
    <w:rsid w:val="00447653"/>
    <w:rsid w:val="00453C6A"/>
    <w:rsid w:val="004542B3"/>
    <w:rsid w:val="0045601A"/>
    <w:rsid w:val="004638F7"/>
    <w:rsid w:val="00464ED5"/>
    <w:rsid w:val="00521305"/>
    <w:rsid w:val="00564C28"/>
    <w:rsid w:val="005764B8"/>
    <w:rsid w:val="00593650"/>
    <w:rsid w:val="005A476C"/>
    <w:rsid w:val="005B2470"/>
    <w:rsid w:val="005E2F99"/>
    <w:rsid w:val="005E3E30"/>
    <w:rsid w:val="00600830"/>
    <w:rsid w:val="0064470A"/>
    <w:rsid w:val="00646918"/>
    <w:rsid w:val="00651055"/>
    <w:rsid w:val="00664850"/>
    <w:rsid w:val="0067019D"/>
    <w:rsid w:val="0067224D"/>
    <w:rsid w:val="0068498F"/>
    <w:rsid w:val="0069321D"/>
    <w:rsid w:val="00696F18"/>
    <w:rsid w:val="006A3AD4"/>
    <w:rsid w:val="006B663E"/>
    <w:rsid w:val="006C7F6D"/>
    <w:rsid w:val="006E1A8B"/>
    <w:rsid w:val="006F38EA"/>
    <w:rsid w:val="00703C46"/>
    <w:rsid w:val="00730CAC"/>
    <w:rsid w:val="0074190C"/>
    <w:rsid w:val="0074539E"/>
    <w:rsid w:val="007724A2"/>
    <w:rsid w:val="007940B3"/>
    <w:rsid w:val="00794B78"/>
    <w:rsid w:val="007A5A06"/>
    <w:rsid w:val="008025A5"/>
    <w:rsid w:val="00804D3F"/>
    <w:rsid w:val="008135C5"/>
    <w:rsid w:val="008455FF"/>
    <w:rsid w:val="008724A0"/>
    <w:rsid w:val="008969AE"/>
    <w:rsid w:val="008B1D3F"/>
    <w:rsid w:val="008B3B1A"/>
    <w:rsid w:val="008D6D6C"/>
    <w:rsid w:val="009101A7"/>
    <w:rsid w:val="009131CC"/>
    <w:rsid w:val="00946556"/>
    <w:rsid w:val="009562AE"/>
    <w:rsid w:val="00970EA7"/>
    <w:rsid w:val="0098679D"/>
    <w:rsid w:val="009B4FAE"/>
    <w:rsid w:val="009C7836"/>
    <w:rsid w:val="009E294B"/>
    <w:rsid w:val="00A111D8"/>
    <w:rsid w:val="00A131BB"/>
    <w:rsid w:val="00A1637E"/>
    <w:rsid w:val="00A2688C"/>
    <w:rsid w:val="00A52739"/>
    <w:rsid w:val="00A84422"/>
    <w:rsid w:val="00AD0061"/>
    <w:rsid w:val="00AD28EE"/>
    <w:rsid w:val="00AD3884"/>
    <w:rsid w:val="00AE0D73"/>
    <w:rsid w:val="00B06B61"/>
    <w:rsid w:val="00B63691"/>
    <w:rsid w:val="00B65AB6"/>
    <w:rsid w:val="00B67006"/>
    <w:rsid w:val="00B722C9"/>
    <w:rsid w:val="00B76BB7"/>
    <w:rsid w:val="00B85A25"/>
    <w:rsid w:val="00BD44E9"/>
    <w:rsid w:val="00C10788"/>
    <w:rsid w:val="00C171A5"/>
    <w:rsid w:val="00C17B62"/>
    <w:rsid w:val="00C26C56"/>
    <w:rsid w:val="00C407FA"/>
    <w:rsid w:val="00C57617"/>
    <w:rsid w:val="00C6038C"/>
    <w:rsid w:val="00C71CDA"/>
    <w:rsid w:val="00C75B14"/>
    <w:rsid w:val="00C813DF"/>
    <w:rsid w:val="00C87E33"/>
    <w:rsid w:val="00C94D0C"/>
    <w:rsid w:val="00C953D5"/>
    <w:rsid w:val="00C969CD"/>
    <w:rsid w:val="00CB0BD6"/>
    <w:rsid w:val="00CB7A10"/>
    <w:rsid w:val="00CC6496"/>
    <w:rsid w:val="00CC7A12"/>
    <w:rsid w:val="00CE7CC0"/>
    <w:rsid w:val="00D21EE7"/>
    <w:rsid w:val="00D36658"/>
    <w:rsid w:val="00D47C48"/>
    <w:rsid w:val="00D57EFA"/>
    <w:rsid w:val="00D77FAD"/>
    <w:rsid w:val="00D8337C"/>
    <w:rsid w:val="00DA2359"/>
    <w:rsid w:val="00DD59E6"/>
    <w:rsid w:val="00DE5CE4"/>
    <w:rsid w:val="00DE6B53"/>
    <w:rsid w:val="00DF1D1B"/>
    <w:rsid w:val="00DF7234"/>
    <w:rsid w:val="00E07ABC"/>
    <w:rsid w:val="00E16677"/>
    <w:rsid w:val="00E33B3C"/>
    <w:rsid w:val="00E50CAF"/>
    <w:rsid w:val="00EA134D"/>
    <w:rsid w:val="00ED5F39"/>
    <w:rsid w:val="00EE3982"/>
    <w:rsid w:val="00F10B6F"/>
    <w:rsid w:val="00F327C5"/>
    <w:rsid w:val="00F36B5F"/>
    <w:rsid w:val="00F629E4"/>
    <w:rsid w:val="00F70041"/>
    <w:rsid w:val="00F75E55"/>
    <w:rsid w:val="00F91077"/>
    <w:rsid w:val="00FA1854"/>
    <w:rsid w:val="00FC2F52"/>
    <w:rsid w:val="00FC46BF"/>
    <w:rsid w:val="00FE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styleId="ListParagraph">
    <w:name w:val="List Paragraph"/>
    <w:basedOn w:val="Normal"/>
    <w:uiPriority w:val="34"/>
    <w:qFormat/>
    <w:rsid w:val="00C10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styleId="ListParagraph">
    <w:name w:val="List Paragraph"/>
    <w:basedOn w:val="Normal"/>
    <w:uiPriority w:val="34"/>
    <w:qFormat/>
    <w:rsid w:val="00C1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6467">
      <w:bodyDiv w:val="1"/>
      <w:marLeft w:val="0"/>
      <w:marRight w:val="0"/>
      <w:marTop w:val="0"/>
      <w:marBottom w:val="0"/>
      <w:divBdr>
        <w:top w:val="none" w:sz="0" w:space="0" w:color="auto"/>
        <w:left w:val="none" w:sz="0" w:space="0" w:color="auto"/>
        <w:bottom w:val="none" w:sz="0" w:space="0" w:color="auto"/>
        <w:right w:val="none" w:sz="0" w:space="0" w:color="auto"/>
      </w:divBdr>
    </w:div>
    <w:div w:id="18791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E2B8-AAB6-4142-A9F8-466CA8CB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 / COFNOD</vt:lpstr>
    </vt:vector>
  </TitlesOfParts>
  <Company>Vale of Glamorgan Council</Company>
  <LinksUpToDate>false</LinksUpToDate>
  <CharactersWithSpaces>2404</CharactersWithSpaces>
  <SharedDoc>false</SharedDoc>
  <HLinks>
    <vt:vector size="12" baseType="variant">
      <vt:variant>
        <vt:i4>3997764</vt:i4>
      </vt:variant>
      <vt:variant>
        <vt:i4>3</vt:i4>
      </vt:variant>
      <vt:variant>
        <vt:i4>0</vt:i4>
      </vt:variant>
      <vt:variant>
        <vt:i4>5</vt:i4>
      </vt:variant>
      <vt:variant>
        <vt:lpwstr>mailto:developmentcontrol@valeofglamorgan.gov.uk</vt:lpwstr>
      </vt:variant>
      <vt:variant>
        <vt:lpwstr/>
      </vt:variant>
      <vt:variant>
        <vt:i4>458768</vt:i4>
      </vt:variant>
      <vt:variant>
        <vt:i4>0</vt:i4>
      </vt:variant>
      <vt:variant>
        <vt:i4>0</vt:i4>
      </vt:variant>
      <vt:variant>
        <vt:i4>5</vt:i4>
      </vt:variant>
      <vt:variant>
        <vt:lpwstr>http://vogonline.planning-register.co.uk/PlaRecord.aspx?AppNo=2013/00632/FUL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COFNOD</dc:title>
  <dc:creator>ICT Services</dc:creator>
  <cp:lastModifiedBy>Faulkner, Elisa</cp:lastModifiedBy>
  <cp:revision>4</cp:revision>
  <cp:lastPrinted>2015-03-17T14:06:00Z</cp:lastPrinted>
  <dcterms:created xsi:type="dcterms:W3CDTF">2015-08-13T11:58:00Z</dcterms:created>
  <dcterms:modified xsi:type="dcterms:W3CDTF">2015-08-17T10:15:00Z</dcterms:modified>
</cp:coreProperties>
</file>